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4</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73XX94U32D2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4</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utilisée dans des situations diversifiées de la </w:t>
      </w:r>
      <w:r>
        <w:rPr>
          <w:b/>
          <w:sz w:val="22"/>
        </w:rPr>
        <w:t xml:space="preserve">vie en entreprise </w:t>
      </w:r>
      <w:r>
        <w:rPr>
          <w:sz w:val="22"/>
        </w:rPr>
        <w:t>et de la</w:t>
      </w:r>
      <w:r>
        <w:rPr>
          <w:b/>
          <w:sz w:val="22"/>
        </w:rPr>
        <w:t xml:space="preserve"> vie professionnelle</w:t>
      </w:r>
      <w:r>
        <w:rPr>
          <w:sz w:val="22"/>
        </w:rPr>
        <w:t xml:space="preserve"> </w:t>
      </w:r>
      <w:r>
        <w:rPr>
          <w:b/>
          <w:sz w:val="22"/>
        </w:rPr>
        <w:t>liée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tcBorders>
              <w:bottom w:val="single" w:sz="4" w:space="0" w:color="auto"/>
            </w:tcBorders>
          </w:tcPr>
          <w:p>
            <w:pPr>
              <w:rPr>
                <w:sz w:val="22"/>
              </w:rPr>
            </w:pPr>
            <w:r>
              <w:rPr>
                <w:sz w:val="22"/>
              </w:rPr>
              <w:t>B1.1</w:t>
            </w:r>
          </w:p>
        </w:tc>
        <w:tc>
          <w:tcPr>
            <w:tcW w:w="0" w:type="auto"/>
            <w:tcBorders>
              <w:bottom w:val="single" w:sz="4" w:space="0" w:color="auto"/>
            </w:tcBorders>
            <w:shd w:val="clear" w:color="auto" w:fill="7F7F7F" w:themeFill="text1" w:themeFillTint="80"/>
          </w:tcPr>
          <w:p>
            <w:pPr>
              <w:rPr>
                <w:b/>
                <w:sz w:val="22"/>
              </w:rPr>
            </w:pPr>
            <w:r>
              <w:rPr>
                <w:b/>
                <w:sz w:val="22"/>
              </w:rPr>
              <w:t>B1.2</w:t>
            </w:r>
          </w:p>
        </w:tc>
      </w:tr>
      <w:tr>
        <w:trPr>
          <w:jc w:val="center"/>
        </w:trPr>
        <w:tc>
          <w:tcPr>
            <w:tcW w:w="0" w:type="auto"/>
            <w:gridSpan w:val="2"/>
            <w:shd w:val="clear" w:color="auto" w:fill="7F7F7F" w:themeFill="text1" w:themeFillTint="80"/>
          </w:tcPr>
          <w:p>
            <w:pPr>
              <w:jc w:val="center"/>
              <w:rPr>
                <w:b/>
                <w:sz w:val="22"/>
              </w:rPr>
            </w:pPr>
            <w:r>
              <w:rPr>
                <w:b/>
                <w:sz w:val="22"/>
              </w:rPr>
              <w:t>B1</w:t>
            </w:r>
          </w:p>
        </w:tc>
      </w:tr>
    </w:tbl>
    <w:p>
      <w:pPr>
        <w:ind w:left="426" w:hanging="426"/>
        <w:rPr>
          <w:b/>
          <w:sz w:val="22"/>
        </w:rPr>
      </w:pPr>
      <w:r>
        <w:rPr>
          <w:b/>
          <w:sz w:val="22"/>
        </w:rPr>
        <w:tab/>
      </w:r>
      <w:r>
        <w:rPr>
          <w:b/>
          <w:sz w:val="22"/>
        </w:rPr>
        <w:tab/>
      </w: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709" w:hanging="567"/>
        <w:rPr>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spacing w:before="120"/>
        <w:ind w:left="425"/>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3 ”"/>
        </w:smartTagPr>
        <w:r>
          <w:rPr>
            <w:rFonts w:cs="Mangal"/>
            <w:sz w:val="22"/>
            <w:szCs w:val="22"/>
          </w:rPr>
          <w:t>3 ”</w:t>
        </w:r>
      </w:smartTag>
      <w:r>
        <w:rPr>
          <w:rFonts w:cs="Mangal"/>
          <w:sz w:val="22"/>
          <w:szCs w:val="22"/>
        </w:rPr>
        <w:t>, à savoir </w:t>
      </w: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spacing w:before="120"/>
        <w:ind w:left="425"/>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544"/>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pStyle w:val="Retraitcorpsdetexte"/>
        <w:spacing w:before="240"/>
        <w:ind w:left="720"/>
        <w:rPr>
          <w:i/>
          <w:iCs/>
          <w:color w:val="auto"/>
          <w:sz w:val="6"/>
          <w:szCs w:val="6"/>
          <w:lang w:eastAsia="fr-BE"/>
        </w:rPr>
      </w:pP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3”"/>
        </w:smartTagPr>
        <w:r>
          <w:rPr>
            <w:sz w:val="22"/>
          </w:rPr>
          <w:t>3”</w:t>
        </w:r>
      </w:smartTag>
      <w:r>
        <w:rPr>
          <w:sz w:val="22"/>
        </w:rPr>
        <w:t xml:space="preserve"> classée dans l’enseignement supérieur de type court.</w:t>
      </w:r>
    </w:p>
    <w:p>
      <w:pPr>
        <w:suppressAutoHyphens/>
        <w:jc w:val="both"/>
        <w:rPr>
          <w:rFonts w:cs="Mangal"/>
          <w:spacing w:val="-2"/>
          <w:sz w:val="22"/>
          <w:szCs w:val="22"/>
        </w:rPr>
      </w:pPr>
    </w:p>
    <w:p>
      <w:pPr>
        <w:ind w:left="426" w:hanging="426"/>
        <w:rPr>
          <w:b/>
          <w:sz w:val="22"/>
        </w:rPr>
      </w:pPr>
      <w:r>
        <w:rPr>
          <w:b/>
          <w:sz w:val="22"/>
        </w:rPr>
        <w:t>3.</w:t>
      </w:r>
      <w:r>
        <w:rPr>
          <w:b/>
          <w:sz w:val="22"/>
        </w:rPr>
        <w:tab/>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suppressAutoHyphens/>
        <w:ind w:left="540"/>
        <w:jc w:val="both"/>
        <w:rPr>
          <w:sz w:val="22"/>
          <w:szCs w:val="22"/>
        </w:rPr>
      </w:pPr>
    </w:p>
    <w:p>
      <w:pPr>
        <w:suppressAutoHyphens/>
        <w:ind w:left="540"/>
        <w:jc w:val="both"/>
        <w:rPr>
          <w:rFonts w:cs="Mangal"/>
          <w:spacing w:val="-2"/>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overflowPunct/>
        <w:autoSpaceDE/>
        <w:autoSpaceDN/>
        <w:adjustRightInd/>
        <w:textAlignment w:val="auto"/>
        <w:rPr>
          <w:i/>
          <w:sz w:val="22"/>
          <w:szCs w:val="22"/>
        </w:rPr>
      </w:pPr>
      <w:r>
        <w:rPr>
          <w:i/>
          <w:sz w:val="22"/>
          <w:szCs w:val="22"/>
        </w:rPr>
        <w:br w:type="page"/>
      </w:r>
    </w:p>
    <w:p>
      <w:pPr>
        <w:numPr>
          <w:ilvl w:val="0"/>
          <w:numId w:val="1"/>
        </w:numPr>
        <w:ind w:left="993" w:hanging="284"/>
        <w:jc w:val="both"/>
        <w:rPr>
          <w:sz w:val="22"/>
          <w:szCs w:val="22"/>
        </w:rPr>
      </w:pPr>
      <w:r>
        <w:rPr>
          <w:sz w:val="22"/>
          <w:szCs w:val="22"/>
        </w:rPr>
        <w:lastRenderedPageBreak/>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jc w:val="both"/>
        <w:rPr>
          <w:sz w:val="22"/>
        </w:rPr>
      </w:pPr>
    </w:p>
    <w:p>
      <w:pPr>
        <w:jc w:val="both"/>
        <w:rPr>
          <w:sz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liés à la vie socioprofessionnelle ainsi que des messages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extraire l’information essentielle de documents multimédia variés ayant trait à des sujets liés au domaine professionnel</w:t>
      </w:r>
      <w:r>
        <w:rPr>
          <w:color w:val="FF0000"/>
          <w:sz w:val="22"/>
        </w:rPr>
        <w:t xml:space="preserve"> </w:t>
      </w:r>
      <w:r>
        <w:rPr>
          <w:sz w:val="22"/>
        </w:rPr>
        <w:t xml:space="preserve">;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socioprofessionnel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relativement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de la vie socioprofessionnelle et professionnelle ;</w:t>
      </w:r>
    </w:p>
    <w:p>
      <w:pPr>
        <w:numPr>
          <w:ilvl w:val="0"/>
          <w:numId w:val="2"/>
        </w:numPr>
        <w:tabs>
          <w:tab w:val="num" w:pos="1276"/>
        </w:tabs>
        <w:spacing w:before="240"/>
        <w:ind w:left="1276"/>
        <w:jc w:val="both"/>
        <w:rPr>
          <w:sz w:val="22"/>
        </w:rPr>
      </w:pPr>
      <w:r>
        <w:rPr>
          <w:sz w:val="22"/>
        </w:rPr>
        <w:t>relever l’information pertinente dans des documents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socioprofessionnels, en utilisant des termes et expressions appropriés et des procédés adéquats pour commencer, poursuivre et terminer une conversation ;</w:t>
      </w:r>
    </w:p>
    <w:p>
      <w:pPr>
        <w:numPr>
          <w:ilvl w:val="0"/>
          <w:numId w:val="2"/>
        </w:numPr>
        <w:tabs>
          <w:tab w:val="num" w:pos="1276"/>
          <w:tab w:val="num" w:pos="4254"/>
        </w:tabs>
        <w:spacing w:before="120"/>
        <w:ind w:left="1276" w:hanging="283"/>
        <w:jc w:val="both"/>
        <w:rPr>
          <w:sz w:val="22"/>
          <w:szCs w:val="22"/>
        </w:rPr>
      </w:pPr>
      <w:r>
        <w:rPr>
          <w:sz w:val="22"/>
          <w:szCs w:val="22"/>
        </w:rPr>
        <w:t>comprendre et réagir adéquatement aux propos d'autres interlocuteurs ;</w:t>
      </w:r>
    </w:p>
    <w:p>
      <w:pPr>
        <w:numPr>
          <w:ilvl w:val="0"/>
          <w:numId w:val="2"/>
        </w:numPr>
        <w:tabs>
          <w:tab w:val="num" w:pos="1276"/>
          <w:tab w:val="num" w:pos="4254"/>
        </w:tabs>
        <w:spacing w:before="120"/>
        <w:ind w:left="1276" w:hanging="283"/>
        <w:jc w:val="both"/>
        <w:rPr>
          <w:sz w:val="22"/>
          <w:szCs w:val="22"/>
        </w:rPr>
      </w:pPr>
      <w:r>
        <w:rPr>
          <w:sz w:val="22"/>
          <w:szCs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szCs w:val="22"/>
        </w:rPr>
      </w:pPr>
      <w:r>
        <w:rPr>
          <w:sz w:val="22"/>
          <w:szCs w:val="22"/>
        </w:rPr>
        <w:t>échanger des informations dans des situations d'ordre professionnel ;</w:t>
      </w:r>
    </w:p>
    <w:p>
      <w:pPr>
        <w:numPr>
          <w:ilvl w:val="0"/>
          <w:numId w:val="2"/>
        </w:numPr>
        <w:tabs>
          <w:tab w:val="num" w:pos="1276"/>
          <w:tab w:val="num" w:pos="4254"/>
        </w:tabs>
        <w:spacing w:before="120"/>
        <w:ind w:left="1276" w:hanging="283"/>
        <w:jc w:val="both"/>
        <w:rPr>
          <w:sz w:val="22"/>
          <w:szCs w:val="22"/>
        </w:rPr>
      </w:pPr>
      <w:r>
        <w:rPr>
          <w:sz w:val="22"/>
          <w:szCs w:val="22"/>
        </w:rPr>
        <w:t>faire des suggestions et réagir à des propositions ;</w:t>
      </w:r>
    </w:p>
    <w:p>
      <w:pPr>
        <w:numPr>
          <w:ilvl w:val="0"/>
          <w:numId w:val="2"/>
        </w:numPr>
        <w:tabs>
          <w:tab w:val="num" w:pos="1276"/>
          <w:tab w:val="num" w:pos="4254"/>
        </w:tabs>
        <w:spacing w:before="120"/>
        <w:ind w:left="1276" w:hanging="283"/>
        <w:jc w:val="both"/>
        <w:rPr>
          <w:sz w:val="22"/>
          <w:szCs w:val="22"/>
        </w:rPr>
      </w:pPr>
      <w:r>
        <w:rPr>
          <w:sz w:val="22"/>
          <w:szCs w:val="22"/>
        </w:rPr>
        <w:t>faire et accepter une offre, une invitation ou des excuses ;</w:t>
      </w:r>
    </w:p>
    <w:p>
      <w:pPr>
        <w:numPr>
          <w:ilvl w:val="0"/>
          <w:numId w:val="2"/>
        </w:numPr>
        <w:tabs>
          <w:tab w:val="num" w:pos="1276"/>
          <w:tab w:val="num" w:pos="4254"/>
        </w:tabs>
        <w:spacing w:before="120"/>
        <w:ind w:left="1276" w:hanging="283"/>
        <w:jc w:val="both"/>
        <w:rPr>
          <w:sz w:val="22"/>
          <w:szCs w:val="22"/>
        </w:rPr>
      </w:pPr>
      <w:r>
        <w:rPr>
          <w:sz w:val="22"/>
          <w:szCs w:val="22"/>
        </w:rPr>
        <w:t>formuler une plainte ;</w:t>
      </w:r>
    </w:p>
    <w:p>
      <w:pPr>
        <w:numPr>
          <w:ilvl w:val="0"/>
          <w:numId w:val="2"/>
        </w:numPr>
        <w:tabs>
          <w:tab w:val="num" w:pos="1276"/>
          <w:tab w:val="num" w:pos="4254"/>
        </w:tabs>
        <w:spacing w:before="120"/>
        <w:ind w:left="1276" w:hanging="283"/>
        <w:jc w:val="both"/>
        <w:rPr>
          <w:sz w:val="22"/>
          <w:szCs w:val="22"/>
        </w:rPr>
      </w:pPr>
      <w:r>
        <w:rPr>
          <w:sz w:val="22"/>
          <w:szCs w:val="22"/>
        </w:rPr>
        <w:lastRenderedPageBreak/>
        <w:t>exprimer de façon appropriée ses convictions, son accord ou son désaccord et les motiver, et inviter les autres à le faire ;</w:t>
      </w:r>
    </w:p>
    <w:p>
      <w:pPr>
        <w:numPr>
          <w:ilvl w:val="0"/>
          <w:numId w:val="2"/>
        </w:numPr>
        <w:tabs>
          <w:tab w:val="num" w:pos="1276"/>
          <w:tab w:val="num" w:pos="4254"/>
        </w:tabs>
        <w:spacing w:before="120"/>
        <w:ind w:left="1276" w:hanging="283"/>
        <w:jc w:val="both"/>
        <w:rPr>
          <w:sz w:val="22"/>
          <w:szCs w:val="22"/>
        </w:rPr>
      </w:pPr>
      <w:r>
        <w:rPr>
          <w:sz w:val="22"/>
          <w:szCs w:val="22"/>
        </w:rPr>
        <w:t>donner et suivre des directives et des instructions détaillées ;</w:t>
      </w:r>
    </w:p>
    <w:p>
      <w:pPr>
        <w:numPr>
          <w:ilvl w:val="0"/>
          <w:numId w:val="2"/>
        </w:numPr>
        <w:tabs>
          <w:tab w:val="num" w:pos="1276"/>
          <w:tab w:val="num" w:pos="4254"/>
        </w:tabs>
        <w:spacing w:before="120"/>
        <w:ind w:left="1276" w:hanging="283"/>
        <w:jc w:val="both"/>
        <w:rPr>
          <w:sz w:val="22"/>
          <w:szCs w:val="22"/>
        </w:rPr>
      </w:pPr>
      <w:r>
        <w:rPr>
          <w:sz w:val="22"/>
          <w:szCs w:val="22"/>
        </w:rPr>
        <w:t>conduire un entretien structuré en s’appuyant éventuellement sur quelques notes succinctes ;</w:t>
      </w:r>
    </w:p>
    <w:p>
      <w:pPr>
        <w:numPr>
          <w:ilvl w:val="0"/>
          <w:numId w:val="2"/>
        </w:numPr>
        <w:tabs>
          <w:tab w:val="num" w:pos="1276"/>
          <w:tab w:val="num" w:pos="4254"/>
        </w:tabs>
        <w:spacing w:before="120"/>
        <w:ind w:left="1276" w:hanging="283"/>
        <w:jc w:val="both"/>
        <w:rPr>
          <w:sz w:val="22"/>
          <w:szCs w:val="22"/>
        </w:rPr>
      </w:pPr>
      <w:r>
        <w:rPr>
          <w:sz w:val="22"/>
          <w:szCs w:val="22"/>
        </w:rPr>
        <w:t>décoder et adopter un langage non verbal adapté à la situation de communication (gestes, mimiques, attitudes, contact oculaire, ton, etc.)</w:t>
      </w:r>
      <w:r>
        <w:rPr>
          <w:sz w:val="22"/>
          <w:szCs w:val="22"/>
          <w:vertAlign w:val="superscript"/>
        </w:rPr>
        <w:footnoteReference w:id="1"/>
      </w:r>
      <w:r>
        <w:rPr>
          <w:sz w:val="22"/>
          <w:szCs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faire une présentation structurée d'un projet d'ordre professionnel ;</w:t>
      </w:r>
    </w:p>
    <w:p>
      <w:pPr>
        <w:numPr>
          <w:ilvl w:val="0"/>
          <w:numId w:val="2"/>
        </w:numPr>
        <w:tabs>
          <w:tab w:val="num" w:pos="1276"/>
          <w:tab w:val="num" w:pos="1484"/>
        </w:tabs>
        <w:spacing w:before="120" w:after="120"/>
        <w:ind w:left="1276"/>
        <w:jc w:val="both"/>
        <w:rPr>
          <w:sz w:val="22"/>
        </w:rPr>
      </w:pPr>
      <w:r>
        <w:rPr>
          <w:sz w:val="22"/>
        </w:rPr>
        <w:t>faire un bref exposé préparé sur un sujet relatif à la vie professionnelle du domaine considéré,</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produire des messages variés (par exemple, une note, un courriel, une lettre, un compte-rendu, une synthèse, etc.) en utilisant des termes et expressions d’usage dans les échanges professionnels ;</w:t>
      </w:r>
    </w:p>
    <w:p>
      <w:pPr>
        <w:numPr>
          <w:ilvl w:val="0"/>
          <w:numId w:val="2"/>
        </w:numPr>
        <w:tabs>
          <w:tab w:val="num" w:pos="1276"/>
          <w:tab w:val="num" w:pos="4254"/>
        </w:tabs>
        <w:spacing w:before="120"/>
        <w:ind w:left="1276" w:hanging="283"/>
        <w:jc w:val="both"/>
        <w:rPr>
          <w:sz w:val="22"/>
        </w:rPr>
      </w:pPr>
      <w:r>
        <w:rPr>
          <w:sz w:val="22"/>
        </w:rPr>
        <w:t>faire un résumé à partir d'informations de sources diverses et donner son avis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ind w:left="720"/>
        <w:rPr>
          <w:sz w:val="22"/>
        </w:rPr>
      </w:pPr>
    </w:p>
    <w:p>
      <w:pPr>
        <w:ind w:left="720"/>
        <w:rPr>
          <w:sz w:val="22"/>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ind w:left="426"/>
        <w:jc w:val="both"/>
        <w:rPr>
          <w:sz w:val="22"/>
        </w:rPr>
      </w:pPr>
    </w:p>
    <w:p>
      <w:pPr>
        <w:ind w:left="426"/>
        <w:jc w:val="both"/>
        <w:rPr>
          <w:sz w:val="22"/>
        </w:rPr>
      </w:pPr>
    </w:p>
    <w:p>
      <w:pPr>
        <w:ind w:left="426"/>
        <w:jc w:val="both"/>
        <w:rPr>
          <w:sz w:val="22"/>
        </w:rPr>
      </w:pPr>
      <w:r>
        <w:rPr>
          <w:sz w:val="22"/>
        </w:rPr>
        <w:t>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ayant trait à des sujets liés au domaine professionnel considéré. </w:t>
      </w:r>
    </w:p>
    <w:p>
      <w:pPr>
        <w:ind w:left="720"/>
        <w:rPr>
          <w:b/>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240"/>
        <w:ind w:left="1276"/>
        <w:jc w:val="both"/>
        <w:rPr>
          <w:sz w:val="22"/>
        </w:rPr>
      </w:pPr>
      <w:r>
        <w:rPr>
          <w:sz w:val="22"/>
        </w:rPr>
        <w:t>relever l’information pertinente dans des documents ayant trait à des sujets liés au domaine professionnel considéré.</w:t>
      </w:r>
    </w:p>
    <w:p>
      <w:pPr>
        <w:spacing w:before="240"/>
        <w:ind w:left="1276"/>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et les motiver,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pStyle w:val="Paragraphedeliste"/>
        <w:keepNext/>
        <w:widowControl w:val="0"/>
        <w:numPr>
          <w:ilvl w:val="0"/>
          <w:numId w:val="49"/>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bCs/>
                <w:sz w:val="22"/>
              </w:rPr>
            </w:pPr>
            <w:r>
              <w:rPr>
                <w:sz w:val="22"/>
                <w:szCs w:val="22"/>
              </w:rPr>
              <w:t>participer</w:t>
            </w:r>
            <w:r>
              <w:rPr>
                <w:bCs/>
                <w:sz w:val="22"/>
              </w:rPr>
              <w:t xml:space="preserve">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Pr>
        <w:pStyle w:val="Paragraphedeliste"/>
        <w:numPr>
          <w:ilvl w:val="0"/>
          <w:numId w:val="28"/>
        </w:numPr>
        <w:snapToGrid w:val="0"/>
        <w:rPr>
          <w:b/>
          <w:iCs/>
          <w:sz w:val="22"/>
          <w:szCs w:val="22"/>
        </w:rPr>
      </w:pPr>
      <w:r>
        <w:rPr>
          <w:b/>
          <w:iCs/>
          <w:sz w:val="22"/>
          <w:szCs w:val="22"/>
        </w:rPr>
        <w:lastRenderedPageBreak/>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rPr>
          <w:trHeight w:val="652"/>
        </w:trP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r>
        <w:rPr>
          <w:b/>
          <w:sz w:val="22"/>
        </w:rPr>
        <w:br w:type="page"/>
      </w:r>
    </w:p>
    <w:p>
      <w:pPr>
        <w:pStyle w:val="Paragraphedeliste"/>
        <w:keepNext/>
        <w:widowControl w:val="0"/>
        <w:numPr>
          <w:ilvl w:val="0"/>
          <w:numId w:val="49"/>
        </w:numPr>
        <w:rPr>
          <w:b/>
          <w:sz w:val="22"/>
        </w:rPr>
      </w:pPr>
      <w:r>
        <w:rPr>
          <w:b/>
          <w:sz w:val="22"/>
        </w:rPr>
        <w:lastRenderedPageBreak/>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9"/>
        </w:numPr>
        <w:rPr>
          <w:b/>
          <w:sz w:val="22"/>
        </w:rPr>
      </w:pPr>
      <w:r>
        <w:rPr>
          <w:b/>
          <w:sz w:val="22"/>
        </w:rPr>
        <w:t>Thèmes spécifiques</w:t>
      </w:r>
    </w:p>
    <w:p>
      <w:pPr>
        <w:keepNext/>
        <w:widowControl w:val="0"/>
        <w:rPr>
          <w:b/>
          <w:sz w:val="22"/>
        </w:rPr>
      </w:pPr>
    </w:p>
    <w:p>
      <w:pPr>
        <w:keepNext/>
        <w:widowControl w:val="0"/>
        <w:rPr>
          <w:b/>
          <w:sz w:val="22"/>
        </w:rPr>
      </w:pPr>
    </w:p>
    <w:p>
      <w:pPr>
        <w:numPr>
          <w:ilvl w:val="0"/>
          <w:numId w:val="44"/>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overflowPunct/>
        <w:adjustRightInd/>
        <w:ind w:left="720"/>
        <w:textAlignment w:val="auto"/>
        <w:rPr>
          <w:rFonts w:cs="Mangal"/>
          <w:b/>
          <w:bCs/>
          <w:sz w:val="22"/>
          <w:szCs w:val="22"/>
        </w:rPr>
      </w:pPr>
    </w:p>
    <w:p>
      <w:pPr>
        <w:numPr>
          <w:ilvl w:val="0"/>
          <w:numId w:val="44"/>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tcPr>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présenter les résultats d’une étude de marché, d’une enquête, d’un sondage, de statistiques</w:t>
            </w:r>
          </w:p>
          <w:p>
            <w:pPr>
              <w:tabs>
                <w:tab w:val="num" w:pos="8562"/>
              </w:tabs>
              <w:overflowPunct/>
              <w:autoSpaceDE/>
              <w:adjustRightInd/>
              <w:spacing w:after="100"/>
              <w:ind w:left="488"/>
              <w:textAlignment w:val="auto"/>
              <w:rPr>
                <w:rFonts w:cs="Mangal"/>
                <w:sz w:val="18"/>
                <w:szCs w:val="18"/>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8"/>
                <w:szCs w:val="18"/>
              </w:rPr>
            </w:pPr>
          </w:p>
          <w:p>
            <w:pPr>
              <w:overflowPunct/>
              <w:adjustRightInd/>
              <w:textAlignment w:val="auto"/>
              <w:rPr>
                <w:rFonts w:cs="Mangal"/>
                <w:sz w:val="18"/>
                <w:szCs w:val="18"/>
              </w:rPr>
            </w:pPr>
          </w:p>
          <w:p>
            <w:pPr>
              <w:overflowPunct/>
              <w:adjustRightInd/>
              <w:textAlignment w:val="auto"/>
              <w:rPr>
                <w:rFonts w:cs="Mangal"/>
                <w:sz w:val="18"/>
                <w:szCs w:val="18"/>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lastRenderedPageBreak/>
              <w:t>Prix :</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00"/>
              <w:ind w:left="488" w:hanging="204"/>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tabs>
                <w:tab w:val="num" w:pos="2444"/>
              </w:tabs>
              <w:overflowPunct/>
              <w:autoSpaceDE/>
              <w:adjustRightInd/>
              <w:spacing w:after="80"/>
              <w:ind w:left="488"/>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lastRenderedPageBreak/>
              <w:t>Force de vente :</w:t>
            </w:r>
          </w:p>
          <w:p>
            <w:pPr>
              <w:numPr>
                <w:ilvl w:val="2"/>
                <w:numId w:val="20"/>
              </w:numPr>
              <w:tabs>
                <w:tab w:val="clear" w:pos="643"/>
                <w:tab w:val="num" w:pos="487"/>
                <w:tab w:val="num" w:pos="2444"/>
              </w:tabs>
              <w:overflowPunct/>
              <w:autoSpaceDE/>
              <w:adjustRightInd/>
              <w:spacing w:before="120"/>
              <w:ind w:left="488" w:hanging="204"/>
              <w:textAlignment w:val="auto"/>
              <w:rPr>
                <w:rFonts w:cs="Mangal"/>
                <w:sz w:val="22"/>
                <w:szCs w:val="22"/>
              </w:rPr>
            </w:pPr>
            <w:r>
              <w:rPr>
                <w:rFonts w:cs="Mangal"/>
                <w:sz w:val="22"/>
                <w:szCs w:val="22"/>
              </w:rPr>
              <w:t xml:space="preserve">appliquer les techniques de vente </w:t>
            </w:r>
          </w:p>
          <w:p>
            <w:pPr>
              <w:tabs>
                <w:tab w:val="num" w:pos="2444"/>
              </w:tabs>
              <w:overflowPunct/>
              <w:autoSpaceDE/>
              <w:adjustRightInd/>
              <w:spacing w:before="120"/>
              <w:ind w:left="488"/>
              <w:textAlignment w:val="auto"/>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6"/>
              </w:numPr>
              <w:overflowPunct/>
              <w:adjustRightInd/>
              <w:spacing w:before="120" w:after="120" w:line="276" w:lineRule="auto"/>
              <w:ind w:left="488" w:hanging="132"/>
              <w:jc w:val="both"/>
              <w:textAlignment w:val="auto"/>
              <w:rPr>
                <w:rFonts w:cs="Mangal"/>
                <w:b/>
                <w:sz w:val="22"/>
                <w:szCs w:val="22"/>
              </w:rPr>
            </w:pPr>
            <w:r>
              <w:rPr>
                <w:rFonts w:cs="Mangal"/>
                <w:b/>
                <w:sz w:val="22"/>
                <w:szCs w:val="22"/>
              </w:rPr>
              <w:t>Fonction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2"/>
                <w:numId w:val="20"/>
              </w:numPr>
              <w:tabs>
                <w:tab w:val="clear" w:pos="643"/>
                <w:tab w:val="num" w:pos="487"/>
                <w:tab w:val="num" w:pos="2444"/>
              </w:tabs>
              <w:overflowPunct/>
              <w:autoSpaceDE/>
              <w:adjustRightInd/>
              <w:spacing w:before="120"/>
              <w:ind w:left="488" w:hanging="204"/>
              <w:textAlignment w:val="auto"/>
              <w:rPr>
                <w:rFonts w:cs="Mangal"/>
                <w:sz w:val="22"/>
                <w:szCs w:val="22"/>
              </w:rPr>
            </w:pPr>
            <w:r>
              <w:rPr>
                <w:rFonts w:cs="Mangal"/>
                <w:sz w:val="22"/>
                <w:szCs w:val="22"/>
              </w:rPr>
              <w:t>décrire les tâches spécifiques à la fonction</w:t>
            </w:r>
          </w:p>
          <w:p>
            <w:pPr>
              <w:tabs>
                <w:tab w:val="num" w:pos="2444"/>
              </w:tabs>
              <w:overflowPunct/>
              <w:autoSpaceDE/>
              <w:adjustRightInd/>
              <w:spacing w:before="80" w:after="80"/>
              <w:ind w:left="488"/>
              <w:textAlignment w:val="auto"/>
              <w:rPr>
                <w:rFonts w:cs="Mangal"/>
                <w:sz w:val="22"/>
                <w:szCs w:val="22"/>
              </w:rPr>
            </w:pPr>
          </w:p>
          <w:p>
            <w:pPr>
              <w:numPr>
                <w:ilvl w:val="0"/>
                <w:numId w:val="46"/>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voir rubrique marketing</w:t>
            </w:r>
          </w:p>
          <w:p>
            <w:pPr>
              <w:tabs>
                <w:tab w:val="num" w:pos="2444"/>
              </w:tabs>
              <w:overflowPunct/>
              <w:autoSpaceDE/>
              <w:adjustRightInd/>
              <w:spacing w:before="80" w:after="80"/>
              <w:ind w:left="488"/>
              <w:textAlignment w:val="auto"/>
              <w:rPr>
                <w:rFonts w:cs="Mangal"/>
                <w:sz w:val="18"/>
                <w:szCs w:val="18"/>
              </w:rPr>
            </w:pPr>
          </w:p>
          <w:p>
            <w:pPr>
              <w:numPr>
                <w:ilvl w:val="0"/>
                <w:numId w:val="46"/>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motiver une équipe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7"/>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numPr>
                <w:ilvl w:val="0"/>
                <w:numId w:val="47"/>
              </w:numPr>
              <w:overflowPunct/>
              <w:adjustRightInd/>
              <w:spacing w:before="120" w:after="120" w:line="276" w:lineRule="auto"/>
              <w:ind w:left="785"/>
              <w:textAlignment w:val="auto"/>
              <w:rPr>
                <w:b/>
                <w:sz w:val="22"/>
                <w:szCs w:val="22"/>
              </w:rPr>
            </w:pPr>
            <w:r>
              <w:rPr>
                <w:b/>
                <w:color w:val="000000"/>
                <w:sz w:val="22"/>
                <w:szCs w:val="22"/>
              </w:rPr>
              <w:lastRenderedPageBreak/>
              <w:t>Culture et civilisation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18"/>
                <w:szCs w:val="18"/>
              </w:rPr>
            </w:pPr>
          </w:p>
          <w:p>
            <w:pPr>
              <w:numPr>
                <w:ilvl w:val="0"/>
                <w:numId w:val="47"/>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8"/>
                <w:szCs w:val="18"/>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spacing w:before="120" w:after="120"/>
              <w:ind w:left="488"/>
              <w:textAlignment w:val="auto"/>
              <w:rPr>
                <w:rFonts w:cs="Mangal"/>
                <w:sz w:val="22"/>
                <w:szCs w:val="22"/>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8"/>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8"/>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18"/>
                <w:szCs w:val="18"/>
              </w:rPr>
            </w:pPr>
          </w:p>
          <w:p>
            <w:pPr>
              <w:numPr>
                <w:ilvl w:val="0"/>
                <w:numId w:val="48"/>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ind w:left="488"/>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tabs>
                <w:tab w:val="left" w:pos="340"/>
              </w:tabs>
              <w:overflowPunct/>
              <w:adjustRightInd/>
              <w:ind w:left="488"/>
              <w:textAlignment w:val="auto"/>
              <w:rPr>
                <w:rFonts w:cs="Mangal"/>
                <w:sz w:val="22"/>
                <w:szCs w:val="22"/>
              </w:rPr>
            </w:pP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lastRenderedPageBreak/>
              <w:t>F. Culture et civilisation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18"/>
                <w:szCs w:val="18"/>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8"/>
                <w:szCs w:val="18"/>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Coopération au développement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18"/>
                <w:szCs w:val="18"/>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18"/>
                <w:szCs w:val="18"/>
              </w:rPr>
            </w:pPr>
          </w:p>
          <w:p>
            <w:pPr>
              <w:overflowPunct/>
              <w:adjustRightInd/>
              <w:ind w:left="488"/>
              <w:textAlignment w:val="auto"/>
              <w:rPr>
                <w:rFonts w:cs="Mangal"/>
                <w:sz w:val="4"/>
                <w:szCs w:val="4"/>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4"/>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numPr>
          <w:ilvl w:val="0"/>
          <w:numId w:val="44"/>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djustRightInd/>
        <w:ind w:left="720"/>
        <w:textAlignment w:val="auto"/>
      </w:pPr>
    </w:p>
    <w:p>
      <w:pPr>
        <w:ind w:left="426" w:hanging="426"/>
        <w:rPr>
          <w:b/>
          <w:sz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sectPr>
      <w:headerReference w:type="even" r:id="rId8"/>
      <w:headerReference w:type="default" r:id="rId9"/>
      <w:footerReference w:type="even" r:id="rId10"/>
      <w:footerReference w:type="default" r:id="rId11"/>
      <w:headerReference w:type="first" r:id="rId12"/>
      <w:footerReference w:type="first" r:id="rId13"/>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4</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850B68"/>
    <w:multiLevelType w:val="hybridMultilevel"/>
    <w:tmpl w:val="A88EEA5E"/>
    <w:lvl w:ilvl="0" w:tplc="2DF0B8F2">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9"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20"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3"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4"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7" w15:restartNumberingAfterBreak="0">
    <w:nsid w:val="5231774A"/>
    <w:multiLevelType w:val="hybridMultilevel"/>
    <w:tmpl w:val="CD54CB40"/>
    <w:lvl w:ilvl="0" w:tplc="9F1ECE10">
      <w:start w:val="1"/>
      <w:numFmt w:val="upp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28"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0"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2"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8"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9"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41" w15:restartNumberingAfterBreak="0">
    <w:nsid w:val="70C578C2"/>
    <w:multiLevelType w:val="hybridMultilevel"/>
    <w:tmpl w:val="9D068D6C"/>
    <w:lvl w:ilvl="0" w:tplc="87847158">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2"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3"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4"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3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42"/>
  </w:num>
  <w:num w:numId="10">
    <w:abstractNumId w:val="19"/>
  </w:num>
  <w:num w:numId="11">
    <w:abstractNumId w:val="13"/>
  </w:num>
  <w:num w:numId="12">
    <w:abstractNumId w:val="20"/>
  </w:num>
  <w:num w:numId="13">
    <w:abstractNumId w:val="5"/>
  </w:num>
  <w:num w:numId="14">
    <w:abstractNumId w:val="39"/>
  </w:num>
  <w:num w:numId="15">
    <w:abstractNumId w:val="26"/>
  </w:num>
  <w:num w:numId="16">
    <w:abstractNumId w:val="44"/>
  </w:num>
  <w:num w:numId="17">
    <w:abstractNumId w:val="34"/>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3"/>
  </w:num>
  <w:num w:numId="21">
    <w:abstractNumId w:val="10"/>
  </w:num>
  <w:num w:numId="22">
    <w:abstractNumId w:val="11"/>
  </w:num>
  <w:num w:numId="23">
    <w:abstractNumId w:val="15"/>
  </w:num>
  <w:num w:numId="24">
    <w:abstractNumId w:val="21"/>
  </w:num>
  <w:num w:numId="25">
    <w:abstractNumId w:val="4"/>
  </w:num>
  <w:num w:numId="26">
    <w:abstractNumId w:val="25"/>
  </w:num>
  <w:num w:numId="27">
    <w:abstractNumId w:val="22"/>
  </w:num>
  <w:num w:numId="28">
    <w:abstractNumId w:val="31"/>
  </w:num>
  <w:num w:numId="29">
    <w:abstractNumId w:val="23"/>
  </w:num>
  <w:num w:numId="30">
    <w:abstractNumId w:val="2"/>
  </w:num>
  <w:num w:numId="31">
    <w:abstractNumId w:val="17"/>
  </w:num>
  <w:num w:numId="32">
    <w:abstractNumId w:val="16"/>
  </w:num>
  <w:num w:numId="33">
    <w:abstractNumId w:val="12"/>
  </w:num>
  <w:num w:numId="34">
    <w:abstractNumId w:val="38"/>
  </w:num>
  <w:num w:numId="35">
    <w:abstractNumId w:val="40"/>
  </w:num>
  <w:num w:numId="36">
    <w:abstractNumId w:val="29"/>
  </w:num>
  <w:num w:numId="37">
    <w:abstractNumId w:val="30"/>
  </w:num>
  <w:num w:numId="38">
    <w:abstractNumId w:val="14"/>
  </w:num>
  <w:num w:numId="39">
    <w:abstractNumId w:val="6"/>
  </w:num>
  <w:num w:numId="40">
    <w:abstractNumId w:val="8"/>
  </w:num>
  <w:num w:numId="41">
    <w:abstractNumId w:val="27"/>
  </w:num>
  <w:num w:numId="42">
    <w:abstractNumId w:val="41"/>
  </w:num>
  <w:num w:numId="43">
    <w:abstractNumId w:val="7"/>
  </w:num>
  <w:num w:numId="44">
    <w:abstractNumId w:val="37"/>
  </w:num>
  <w:num w:numId="45">
    <w:abstractNumId w:val="18"/>
  </w:num>
  <w:num w:numId="46">
    <w:abstractNumId w:val="9"/>
  </w:num>
  <w:num w:numId="47">
    <w:abstractNumId w:val="28"/>
  </w:num>
  <w:num w:numId="48">
    <w:abstractNumId w:val="32"/>
  </w:num>
  <w:num w:numId="4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B3BC851D-0EDB-4661-8898-9D780CC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285641">
      <w:bodyDiv w:val="1"/>
      <w:marLeft w:val="0"/>
      <w:marRight w:val="0"/>
      <w:marTop w:val="0"/>
      <w:marBottom w:val="0"/>
      <w:divBdr>
        <w:top w:val="none" w:sz="0" w:space="0" w:color="auto"/>
        <w:left w:val="none" w:sz="0" w:space="0" w:color="auto"/>
        <w:bottom w:val="none" w:sz="0" w:space="0" w:color="auto"/>
        <w:right w:val="none" w:sz="0" w:space="0" w:color="auto"/>
      </w:divBdr>
    </w:div>
    <w:div w:id="1385979902">
      <w:bodyDiv w:val="1"/>
      <w:marLeft w:val="0"/>
      <w:marRight w:val="0"/>
      <w:marTop w:val="0"/>
      <w:marBottom w:val="0"/>
      <w:divBdr>
        <w:top w:val="none" w:sz="0" w:space="0" w:color="auto"/>
        <w:left w:val="none" w:sz="0" w:space="0" w:color="auto"/>
        <w:bottom w:val="none" w:sz="0" w:space="0" w:color="auto"/>
        <w:right w:val="none" w:sz="0" w:space="0" w:color="auto"/>
      </w:divBdr>
    </w:div>
    <w:div w:id="16973830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F4DFF9-2AD6-4AB2-97FF-C6857AA2EF8D}">
  <ds:schemaRefs>
    <ds:schemaRef ds:uri="http://schemas.openxmlformats.org/officeDocument/2006/bibliography"/>
  </ds:schemaRefs>
</ds:datastoreItem>
</file>

<file path=customXml/itemProps2.xml><?xml version="1.0" encoding="utf-8"?>
<ds:datastoreItem xmlns:ds="http://schemas.openxmlformats.org/officeDocument/2006/customXml" ds:itemID="{CEBBA2ED-9BF4-42B9-9E4E-ECD4893D6E54}"/>
</file>

<file path=customXml/itemProps3.xml><?xml version="1.0" encoding="utf-8"?>
<ds:datastoreItem xmlns:ds="http://schemas.openxmlformats.org/officeDocument/2006/customXml" ds:itemID="{EAAD6E18-578E-4D0D-AFEF-64D77A5BE12C}"/>
</file>

<file path=customXml/itemProps4.xml><?xml version="1.0" encoding="utf-8"?>
<ds:datastoreItem xmlns:ds="http://schemas.openxmlformats.org/officeDocument/2006/customXml" ds:itemID="{6DA58729-4639-4DF3-B874-D9BE8CDD7ED9}"/>
</file>

<file path=docProps/app.xml><?xml version="1.0" encoding="utf-8"?>
<Properties xmlns="http://schemas.openxmlformats.org/officeDocument/2006/extended-properties" xmlns:vt="http://schemas.openxmlformats.org/officeDocument/2006/docPropsVTypes">
  <Template>Normal.dotm</Template>
  <TotalTime>2</TotalTime>
  <Pages>1</Pages>
  <Words>5515</Words>
  <Characters>30333</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2016-06-10T12:54:00Z</cp:lastPrinted>
  <dcterms:created xsi:type="dcterms:W3CDTF">2016-06-29T07:01:00Z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