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cs="Times New Roman"/>
          <w:noProof w:val="0"/>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MINISTERE DE LA COMMUNAUTE FRANCAISE</w:t>
      </w:r>
    </w:p>
    <w:p>
      <w:pPr>
        <w:pStyle w:val="Texte"/>
        <w:jc w:val="center"/>
        <w:rPr>
          <w:rFonts w:ascii="Times New Roman" w:hAnsi="Times New Roman" w:cs="Times New Roman"/>
          <w:b/>
          <w:bCs/>
          <w:noProof w:val="0"/>
          <w:sz w:val="22"/>
          <w:szCs w:val="22"/>
          <w:lang w:val="fr-FR"/>
        </w:rPr>
      </w:pPr>
    </w:p>
    <w:p>
      <w:pPr>
        <w:pStyle w:val="Texte"/>
        <w:jc w:val="center"/>
        <w:rPr>
          <w:rFonts w:ascii="Times New Roman" w:hAnsi="Times New Roman" w:cs="Times New Roman"/>
          <w:b/>
          <w:bCs/>
          <w:noProof w:val="0"/>
          <w:lang w:val="fr-FR"/>
        </w:rPr>
      </w:pPr>
      <w:r>
        <w:rPr>
          <w:rFonts w:ascii="Times New Roman" w:hAnsi="Times New Roman" w:cs="Times New Roman"/>
          <w:b/>
          <w:bCs/>
          <w:noProof w:val="0"/>
          <w:lang w:val="fr-FR"/>
        </w:rPr>
        <w:t>ADMINISTRATION GENERALE DE L’ENSEIGNEMENT</w:t>
      </w:r>
    </w:p>
    <w:p>
      <w:pPr>
        <w:pStyle w:val="Texte"/>
        <w:jc w:val="center"/>
        <w:rPr>
          <w:rFonts w:ascii="Times New Roman" w:hAnsi="Times New Roman" w:cs="Times New Roman"/>
          <w:noProof w:val="0"/>
          <w:sz w:val="22"/>
          <w:szCs w:val="22"/>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ENSEIGNEMENT DE PROMOTION SOCIALE</w:t>
      </w:r>
    </w:p>
    <w:p/>
    <w:p/>
    <w:p/>
    <w:p/>
    <w:p/>
    <w:p/>
    <w:p/>
    <w:p/>
    <w:p/>
    <w:p/>
    <w:p/>
    <w:p/>
    <w:p/>
    <w:p/>
    <w:p/>
    <w:p/>
    <w:p/>
    <w:p/>
    <w:p/>
    <w:p/>
    <w:p>
      <w:pPr>
        <w:pStyle w:val="Texte"/>
        <w:ind w:left="2269" w:right="2602"/>
        <w:jc w:val="center"/>
        <w:rPr>
          <w:rFonts w:ascii="Times New Roman" w:hAnsi="Times New Roman" w:cs="Times New Roman"/>
          <w:b/>
          <w:bCs/>
          <w:noProof w:val="0"/>
          <w:sz w:val="28"/>
          <w:szCs w:val="28"/>
          <w:lang w:val="fr-FR"/>
        </w:rPr>
      </w:pPr>
    </w:p>
    <w:p>
      <w:pPr>
        <w:pStyle w:val="Texte"/>
        <w:ind w:left="2269" w:right="2602"/>
        <w:jc w:val="center"/>
        <w:rPr>
          <w:rFonts w:ascii="Times New Roman" w:hAnsi="Times New Roman" w:cs="Times New Roman"/>
          <w:b/>
          <w:bCs/>
          <w:noProof w:val="0"/>
          <w:sz w:val="28"/>
          <w:szCs w:val="28"/>
          <w:lang w:val="fr-FR"/>
        </w:rPr>
      </w:pPr>
      <w:r>
        <w:rPr>
          <w:rFonts w:ascii="Times New Roman" w:hAnsi="Times New Roman" w:cs="Times New Roman"/>
          <w:b/>
          <w:bCs/>
          <w:noProof w:val="0"/>
          <w:sz w:val="28"/>
          <w:szCs w:val="28"/>
          <w:lang w:val="fr-FR"/>
        </w:rPr>
        <w:t>DOSSIER PEDAGOGIQUE</w:t>
      </w:r>
    </w:p>
    <w:p>
      <w:pPr>
        <w:pStyle w:val="Texte"/>
        <w:ind w:left="2269" w:right="2602"/>
        <w:jc w:val="center"/>
        <w:rPr>
          <w:rFonts w:ascii="Times New Roman" w:hAnsi="Times New Roman" w:cs="Times New Roman"/>
          <w:b/>
          <w:bCs/>
          <w:noProof w:val="0"/>
          <w:sz w:val="28"/>
          <w:szCs w:val="28"/>
          <w:lang w:val="fr-FR"/>
        </w:rPr>
      </w:pPr>
    </w:p>
    <w:p/>
    <w:p/>
    <w:p>
      <w:pPr>
        <w:jc w:val="center"/>
        <w:rPr>
          <w:b/>
          <w:bCs/>
          <w:sz w:val="22"/>
          <w:szCs w:val="22"/>
        </w:rPr>
      </w:pPr>
      <w:r>
        <w:rPr>
          <w:b/>
          <w:bCs/>
          <w:sz w:val="22"/>
          <w:szCs w:val="22"/>
        </w:rPr>
        <w:t>UNITE D'ENSEIGNEMENT</w:t>
      </w:r>
    </w:p>
    <w:p>
      <w:pPr>
        <w:jc w:val="center"/>
        <w:rPr>
          <w:sz w:val="22"/>
          <w:szCs w:val="22"/>
        </w:rPr>
      </w:pPr>
    </w:p>
    <w:p>
      <w:pPr>
        <w:jc w:val="center"/>
        <w:rPr>
          <w:b/>
          <w:bCs/>
          <w:caps/>
          <w:sz w:val="32"/>
          <w:szCs w:val="32"/>
        </w:rPr>
      </w:pPr>
    </w:p>
    <w:p>
      <w:pPr>
        <w:jc w:val="center"/>
      </w:pPr>
      <w:r>
        <w:rPr>
          <w:b/>
          <w:bCs/>
          <w:caps/>
          <w:sz w:val="32"/>
          <w:szCs w:val="32"/>
        </w:rPr>
        <w:t>faits et institutions economiques</w:t>
      </w:r>
    </w:p>
    <w:p>
      <w:pPr>
        <w:jc w:val="center"/>
      </w:pPr>
    </w:p>
    <w:p>
      <w:pPr>
        <w:jc w:val="center"/>
      </w:pPr>
    </w:p>
    <w:p>
      <w:pPr>
        <w:jc w:val="center"/>
      </w:pPr>
    </w:p>
    <w:p>
      <w:pPr>
        <w:pStyle w:val="Texte"/>
        <w:jc w:val="center"/>
        <w:rPr>
          <w:rFonts w:ascii="Times New Roman" w:hAnsi="Times New Roman"/>
          <w:b/>
          <w:bCs/>
          <w:noProof w:val="0"/>
          <w:sz w:val="22"/>
          <w:szCs w:val="22"/>
        </w:rPr>
      </w:pPr>
      <w:r>
        <w:rPr>
          <w:rFonts w:ascii="Times New Roman" w:hAnsi="Times New Roman"/>
          <w:b/>
          <w:bCs/>
          <w:noProof w:val="0"/>
          <w:sz w:val="22"/>
          <w:szCs w:val="22"/>
        </w:rPr>
        <w:t>ENSEIGNEMENT SUPERIEUR DE TYPE COURT</w:t>
      </w:r>
    </w:p>
    <w:p>
      <w:pPr>
        <w:jc w:val="center"/>
        <w:rPr>
          <w:smallCaps/>
        </w:rPr>
      </w:pPr>
      <w:r>
        <w:rPr>
          <w:smallCaps/>
        </w:rPr>
        <w:t>Domaine : Sciences économiques et de gestion</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bottom w:val="nil"/>
            </w:tcBorders>
          </w:tcPr>
          <w:p>
            <w:pPr>
              <w:pStyle w:val="Texte"/>
              <w:jc w:val="center"/>
              <w:rPr>
                <w:rFonts w:ascii="Times New Roman" w:hAnsi="Times New Roman" w:cs="Times New Roman"/>
                <w:b/>
                <w:bCs/>
                <w:noProof w:val="0"/>
                <w:sz w:val="22"/>
                <w:szCs w:val="22"/>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 xml:space="preserve">CODE : </w:t>
            </w:r>
            <w:bookmarkStart w:id="0" w:name="_GoBack"/>
            <w:r>
              <w:rPr>
                <w:rFonts w:ascii="Times New Roman" w:hAnsi="Times New Roman" w:cs="Times New Roman"/>
                <w:b/>
                <w:bCs/>
                <w:noProof w:val="0"/>
                <w:sz w:val="22"/>
                <w:szCs w:val="22"/>
                <w:lang w:val="fr-FR"/>
              </w:rPr>
              <w:t>715101U32D2</w:t>
            </w:r>
            <w:bookmarkEnd w:id="0"/>
          </w:p>
        </w:tc>
      </w:tr>
      <w:tr>
        <w:tc>
          <w:tcPr>
            <w:tcW w:w="5529" w:type="dxa"/>
            <w:tcBorders>
              <w:top w:val="nil"/>
              <w:bottom w:val="nil"/>
            </w:tcBorders>
          </w:tcPr>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DU DOMAINE DE FORMATION : 702</w:t>
            </w:r>
          </w:p>
        </w:tc>
      </w:tr>
      <w:tr>
        <w:tc>
          <w:tcPr>
            <w:tcW w:w="5529" w:type="dxa"/>
            <w:tcBorders>
              <w:top w:val="nil"/>
              <w:bottom w:val="single" w:sz="6" w:space="0" w:color="auto"/>
            </w:tcBorders>
          </w:tcPr>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DOCUMENT DE REFERENCE INTER-RESEAUX</w:t>
            </w:r>
          </w:p>
          <w:p>
            <w:pPr>
              <w:pStyle w:val="Texte"/>
              <w:jc w:val="center"/>
              <w:rPr>
                <w:rFonts w:ascii="Times New Roman" w:hAnsi="Times New Roman" w:cs="Times New Roman"/>
                <w:noProof w:val="0"/>
                <w:sz w:val="22"/>
                <w:szCs w:val="22"/>
                <w:lang w:val="fr-FR"/>
              </w:rPr>
            </w:pPr>
          </w:p>
        </w:tc>
      </w:tr>
    </w:tbl>
    <w:p>
      <w:pPr>
        <w:jc w:val="center"/>
      </w:pPr>
    </w:p>
    <w:p>
      <w:pPr>
        <w:jc w:val="center"/>
      </w:pPr>
    </w:p>
    <w:p>
      <w:pPr>
        <w:jc w:val="center"/>
      </w:pPr>
    </w:p>
    <w:p>
      <w:pPr>
        <w:jc w:val="center"/>
      </w:pPr>
    </w:p>
    <w:p>
      <w:pPr>
        <w:jc w:val="center"/>
      </w:pPr>
    </w:p>
    <w:p>
      <w:pPr>
        <w:jc w:val="center"/>
      </w:pPr>
    </w:p>
    <w:p>
      <w:pPr>
        <w:jc w:val="center"/>
        <w:rPr>
          <w:b/>
          <w:bCs/>
        </w:rPr>
      </w:pPr>
      <w:r>
        <w:rPr>
          <w:b/>
          <w:bCs/>
        </w:rPr>
        <w:t>Approbation du Gouvernement de la Communauté française du 20 août 2018,</w:t>
      </w:r>
    </w:p>
    <w:p>
      <w:pPr>
        <w:jc w:val="center"/>
        <w:rPr>
          <w:b/>
          <w:bCs/>
        </w:rPr>
      </w:pPr>
      <w:r>
        <w:rPr>
          <w:b/>
          <w:bCs/>
        </w:rPr>
        <w:t>sur avis conforme du Conseil général</w:t>
      </w:r>
    </w:p>
    <w:p>
      <w:pPr>
        <w:jc w:val="center"/>
        <w:rPr>
          <w:b/>
          <w:bCs/>
        </w:rPr>
      </w:pPr>
      <w:r>
        <w:rPr>
          <w:b/>
          <w:bCs/>
        </w:rPr>
        <w:br w:type="page"/>
      </w:r>
    </w:p>
    <w:p>
      <w:pPr>
        <w:jc w:val="center"/>
        <w:rPr>
          <w:b/>
          <w:bCs/>
        </w:rPr>
      </w:pPr>
    </w:p>
    <w:tbl>
      <w:tblPr>
        <w:tblW w:w="0" w:type="auto"/>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bCs/>
              </w:rPr>
            </w:pPr>
            <w:r>
              <w:rPr>
                <w:b/>
                <w:bCs/>
                <w:sz w:val="28"/>
                <w:szCs w:val="28"/>
              </w:rPr>
              <w:br w:type="page"/>
            </w:r>
          </w:p>
          <w:p>
            <w:pPr>
              <w:pStyle w:val="Titre1"/>
            </w:pPr>
            <w:r>
              <w:t>faits et institutions economiques</w:t>
            </w:r>
          </w:p>
          <w:p>
            <w:pPr>
              <w:jc w:val="center"/>
              <w:rPr>
                <w:b/>
                <w:bCs/>
                <w:sz w:val="28"/>
                <w:szCs w:val="28"/>
              </w:rPr>
            </w:pPr>
          </w:p>
          <w:p>
            <w:pPr>
              <w:jc w:val="center"/>
              <w:rPr>
                <w:b/>
                <w:bCs/>
                <w:caps/>
              </w:rPr>
            </w:pPr>
            <w:r>
              <w:rPr>
                <w:b/>
                <w:bCs/>
                <w:caps/>
                <w:sz w:val="22"/>
                <w:szCs w:val="22"/>
              </w:rPr>
              <w:t>enseignement superieur de type court</w:t>
            </w:r>
          </w:p>
          <w:p>
            <w:pPr>
              <w:jc w:val="center"/>
              <w:rPr>
                <w:b/>
                <w:bCs/>
                <w:sz w:val="28"/>
                <w:szCs w:val="28"/>
              </w:rPr>
            </w:pPr>
          </w:p>
        </w:tc>
      </w:tr>
    </w:tbl>
    <w:p/>
    <w:p/>
    <w:p>
      <w:pPr>
        <w:ind w:left="426" w:hanging="426"/>
        <w:rPr>
          <w:b/>
          <w:bCs/>
          <w:sz w:val="22"/>
          <w:szCs w:val="22"/>
        </w:rPr>
      </w:pPr>
      <w:r>
        <w:rPr>
          <w:b/>
          <w:bCs/>
          <w:sz w:val="22"/>
          <w:szCs w:val="22"/>
        </w:rPr>
        <w:t>1.</w:t>
      </w:r>
      <w:r>
        <w:rPr>
          <w:b/>
          <w:bCs/>
          <w:sz w:val="22"/>
          <w:szCs w:val="22"/>
        </w:rPr>
        <w:tab/>
        <w:t>FINALITES DE L’UNITE D'ENSEIGNEMENT</w:t>
      </w:r>
    </w:p>
    <w:p/>
    <w:p>
      <w:pPr>
        <w:ind w:left="851" w:hanging="426"/>
        <w:rPr>
          <w:b/>
          <w:bCs/>
          <w:sz w:val="22"/>
          <w:szCs w:val="22"/>
        </w:rPr>
      </w:pPr>
      <w:r>
        <w:rPr>
          <w:b/>
          <w:bCs/>
          <w:sz w:val="22"/>
          <w:szCs w:val="22"/>
        </w:rPr>
        <w:t>1.1.</w:t>
      </w:r>
      <w:r>
        <w:rPr>
          <w:b/>
          <w:bCs/>
          <w:sz w:val="22"/>
          <w:szCs w:val="22"/>
        </w:rPr>
        <w:tab/>
        <w:t>Finalités générales</w:t>
      </w:r>
    </w:p>
    <w:p>
      <w:pPr>
        <w:rPr>
          <w:sz w:val="22"/>
          <w:szCs w:val="22"/>
        </w:rPr>
      </w:pPr>
    </w:p>
    <w:p>
      <w:pPr>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jc w:val="both"/>
        <w:rPr>
          <w:sz w:val="22"/>
          <w:szCs w:val="22"/>
        </w:rPr>
      </w:pPr>
    </w:p>
    <w:p>
      <w:pPr>
        <w:numPr>
          <w:ilvl w:val="0"/>
          <w:numId w:val="1"/>
        </w:numPr>
        <w:jc w:val="both"/>
        <w:rPr>
          <w:sz w:val="22"/>
          <w:szCs w:val="22"/>
        </w:rPr>
      </w:pPr>
      <w:r>
        <w:rPr>
          <w:sz w:val="22"/>
          <w:szCs w:val="22"/>
        </w:rPr>
        <w:t>concourir à l’épanouissement individuel en promouvant une meilleure insertion professionnelle, sociale, culturelle et scolaire ;</w:t>
      </w:r>
    </w:p>
    <w:p>
      <w:pPr>
        <w:numPr>
          <w:ilvl w:val="12"/>
          <w:numId w:val="0"/>
        </w:numPr>
        <w:ind w:left="1134" w:hanging="283"/>
        <w:jc w:val="both"/>
        <w:rPr>
          <w:sz w:val="22"/>
          <w:szCs w:val="22"/>
        </w:rPr>
      </w:pPr>
    </w:p>
    <w:p>
      <w:pPr>
        <w:numPr>
          <w:ilvl w:val="0"/>
          <w:numId w:val="1"/>
        </w:numPr>
        <w:jc w:val="both"/>
        <w:rPr>
          <w:sz w:val="22"/>
          <w:szCs w:val="22"/>
        </w:rPr>
      </w:pPr>
      <w:r>
        <w:rPr>
          <w:sz w:val="22"/>
          <w:szCs w:val="22"/>
        </w:rPr>
        <w:t>répondre aux besoins et demandes en formation émanant des entreprises, des administrations, de l’enseignement et d’une manière générale des milieux socio-économiques et culturels.</w:t>
      </w:r>
    </w:p>
    <w:p>
      <w:pPr>
        <w:rPr>
          <w:sz w:val="22"/>
          <w:szCs w:val="22"/>
        </w:rPr>
      </w:pPr>
    </w:p>
    <w:p>
      <w:pPr>
        <w:ind w:left="851" w:hanging="426"/>
        <w:rPr>
          <w:b/>
          <w:bCs/>
          <w:sz w:val="22"/>
          <w:szCs w:val="22"/>
        </w:rPr>
      </w:pPr>
      <w:r>
        <w:rPr>
          <w:b/>
          <w:bCs/>
          <w:sz w:val="22"/>
          <w:szCs w:val="22"/>
        </w:rPr>
        <w:t>1.2.</w:t>
      </w:r>
      <w:r>
        <w:rPr>
          <w:b/>
          <w:bCs/>
          <w:sz w:val="22"/>
          <w:szCs w:val="22"/>
        </w:rPr>
        <w:tab/>
        <w:t>Finalités particulières</w:t>
      </w:r>
    </w:p>
    <w:p>
      <w:pPr>
        <w:rPr>
          <w:sz w:val="22"/>
          <w:szCs w:val="22"/>
        </w:rPr>
      </w:pPr>
    </w:p>
    <w:p>
      <w:pPr>
        <w:ind w:left="851"/>
        <w:jc w:val="both"/>
        <w:rPr>
          <w:sz w:val="22"/>
          <w:szCs w:val="22"/>
        </w:rPr>
      </w:pPr>
      <w:r>
        <w:rPr>
          <w:sz w:val="22"/>
          <w:szCs w:val="22"/>
        </w:rPr>
        <w:t>L'unité d'enseignement vise à permettre à l'étudiant :</w:t>
      </w:r>
    </w:p>
    <w:p>
      <w:pPr>
        <w:ind w:left="851"/>
        <w:jc w:val="both"/>
        <w:rPr>
          <w:b/>
          <w:bCs/>
          <w:sz w:val="22"/>
          <w:szCs w:val="22"/>
        </w:rPr>
      </w:pPr>
    </w:p>
    <w:p>
      <w:pPr>
        <w:numPr>
          <w:ilvl w:val="0"/>
          <w:numId w:val="1"/>
        </w:numPr>
        <w:jc w:val="both"/>
        <w:rPr>
          <w:sz w:val="22"/>
          <w:szCs w:val="22"/>
        </w:rPr>
      </w:pPr>
      <w:r>
        <w:rPr>
          <w:sz w:val="22"/>
          <w:szCs w:val="22"/>
        </w:rPr>
        <w:t>d’acquérir des connaissances générales en économie ;</w:t>
      </w:r>
    </w:p>
    <w:p>
      <w:pPr>
        <w:numPr>
          <w:ilvl w:val="0"/>
          <w:numId w:val="1"/>
        </w:numPr>
        <w:jc w:val="both"/>
        <w:rPr>
          <w:sz w:val="22"/>
          <w:szCs w:val="22"/>
        </w:rPr>
      </w:pPr>
      <w:r>
        <w:rPr>
          <w:sz w:val="22"/>
          <w:szCs w:val="22"/>
        </w:rPr>
        <w:t>de s'initier, au travers des faits, aux mécanismes de l'économie contemporaine ;</w:t>
      </w:r>
    </w:p>
    <w:p>
      <w:pPr>
        <w:numPr>
          <w:ilvl w:val="0"/>
          <w:numId w:val="1"/>
        </w:numPr>
        <w:jc w:val="both"/>
        <w:rPr>
          <w:sz w:val="22"/>
          <w:szCs w:val="22"/>
        </w:rPr>
      </w:pPr>
      <w:r>
        <w:rPr>
          <w:sz w:val="22"/>
          <w:szCs w:val="22"/>
        </w:rPr>
        <w:t>de développer son sens critique tant vis-à-vis du fonctionnement de l'économie que des théories et des systèmes économiques.</w:t>
      </w:r>
    </w:p>
    <w:p>
      <w:pPr>
        <w:rPr>
          <w:sz w:val="22"/>
          <w:szCs w:val="22"/>
        </w:rPr>
      </w:pPr>
    </w:p>
    <w:p>
      <w:pPr>
        <w:rPr>
          <w:sz w:val="22"/>
          <w:szCs w:val="22"/>
        </w:rPr>
      </w:pPr>
    </w:p>
    <w:p>
      <w:pPr>
        <w:ind w:left="426" w:hanging="426"/>
        <w:rPr>
          <w:b/>
          <w:bCs/>
          <w:sz w:val="22"/>
          <w:szCs w:val="22"/>
        </w:rPr>
      </w:pPr>
      <w:r>
        <w:rPr>
          <w:b/>
          <w:bCs/>
          <w:sz w:val="22"/>
          <w:szCs w:val="22"/>
        </w:rPr>
        <w:t>2.</w:t>
      </w:r>
      <w:r>
        <w:rPr>
          <w:b/>
          <w:bCs/>
          <w:sz w:val="22"/>
          <w:szCs w:val="22"/>
        </w:rPr>
        <w:tab/>
        <w:t>CAPACITES PREALABLES REQUISES</w:t>
      </w:r>
    </w:p>
    <w:p>
      <w:pPr>
        <w:rPr>
          <w:sz w:val="22"/>
          <w:szCs w:val="22"/>
        </w:rPr>
      </w:pPr>
    </w:p>
    <w:p>
      <w:pPr>
        <w:ind w:left="851" w:hanging="426"/>
        <w:rPr>
          <w:b/>
          <w:bCs/>
          <w:sz w:val="22"/>
          <w:szCs w:val="22"/>
        </w:rPr>
      </w:pPr>
      <w:r>
        <w:rPr>
          <w:b/>
          <w:bCs/>
          <w:sz w:val="22"/>
          <w:szCs w:val="22"/>
        </w:rPr>
        <w:t>2.1.</w:t>
      </w:r>
      <w:r>
        <w:rPr>
          <w:b/>
          <w:bCs/>
          <w:sz w:val="22"/>
          <w:szCs w:val="22"/>
        </w:rPr>
        <w:tab/>
        <w:t>Capacités</w:t>
      </w:r>
    </w:p>
    <w:p>
      <w:pPr>
        <w:ind w:left="425"/>
        <w:rPr>
          <w:b/>
          <w:bCs/>
          <w:sz w:val="22"/>
          <w:szCs w:val="22"/>
        </w:rPr>
      </w:pPr>
    </w:p>
    <w:p>
      <w:pPr>
        <w:numPr>
          <w:ilvl w:val="0"/>
          <w:numId w:val="1"/>
        </w:numPr>
        <w:jc w:val="both"/>
        <w:rPr>
          <w:sz w:val="22"/>
          <w:szCs w:val="22"/>
        </w:rPr>
      </w:pPr>
      <w:r>
        <w:rPr>
          <w:sz w:val="22"/>
          <w:szCs w:val="22"/>
        </w:rPr>
        <w:t>résumer les idées essentielles d’un texte d’intérêt général et les critiquer ;</w:t>
      </w:r>
    </w:p>
    <w:p>
      <w:pPr>
        <w:numPr>
          <w:ilvl w:val="0"/>
          <w:numId w:val="1"/>
        </w:numPr>
        <w:jc w:val="both"/>
        <w:rPr>
          <w:sz w:val="22"/>
          <w:szCs w:val="22"/>
        </w:rPr>
      </w:pPr>
      <w:r>
        <w:rPr>
          <w:sz w:val="22"/>
          <w:szCs w:val="22"/>
        </w:rPr>
        <w:t>produire un message structuré qui exprime un avis, une prise de position devant un fait, un événement, ... (des documents d’information pouvant être mis à sa disposition).</w:t>
      </w:r>
    </w:p>
    <w:p>
      <w:pPr>
        <w:ind w:left="851"/>
        <w:jc w:val="both"/>
        <w:rPr>
          <w:sz w:val="22"/>
          <w:szCs w:val="22"/>
        </w:rPr>
      </w:pPr>
    </w:p>
    <w:p>
      <w:pPr>
        <w:rPr>
          <w:sz w:val="22"/>
          <w:szCs w:val="22"/>
        </w:rPr>
      </w:pPr>
    </w:p>
    <w:p>
      <w:pPr>
        <w:ind w:left="851" w:hanging="426"/>
        <w:rPr>
          <w:b/>
          <w:bCs/>
          <w:sz w:val="22"/>
          <w:szCs w:val="22"/>
        </w:rPr>
      </w:pPr>
      <w:r>
        <w:rPr>
          <w:b/>
          <w:bCs/>
          <w:sz w:val="22"/>
          <w:szCs w:val="22"/>
        </w:rPr>
        <w:t>2.2.</w:t>
      </w:r>
      <w:r>
        <w:rPr>
          <w:b/>
          <w:bCs/>
          <w:sz w:val="22"/>
          <w:szCs w:val="22"/>
        </w:rPr>
        <w:tab/>
        <w:t>Titre pouvant en tenir lieu</w:t>
      </w:r>
    </w:p>
    <w:p>
      <w:pPr>
        <w:rPr>
          <w:sz w:val="22"/>
          <w:szCs w:val="22"/>
        </w:rPr>
      </w:pPr>
    </w:p>
    <w:p>
      <w:pPr>
        <w:ind w:left="851"/>
        <w:jc w:val="both"/>
        <w:rPr>
          <w:sz w:val="22"/>
          <w:szCs w:val="22"/>
        </w:rPr>
      </w:pPr>
      <w:r>
        <w:rPr>
          <w:sz w:val="22"/>
          <w:szCs w:val="22"/>
        </w:rPr>
        <w:t>C.E.S.S.</w:t>
      </w:r>
    </w:p>
    <w:p>
      <w:pPr>
        <w:rPr>
          <w:sz w:val="22"/>
          <w:szCs w:val="22"/>
        </w:rPr>
      </w:pPr>
    </w:p>
    <w:p>
      <w:pPr>
        <w:ind w:left="426" w:hanging="426"/>
        <w:rPr>
          <w:b/>
          <w:bCs/>
          <w:sz w:val="22"/>
          <w:szCs w:val="22"/>
        </w:rPr>
      </w:pPr>
      <w:r>
        <w:rPr>
          <w:sz w:val="22"/>
          <w:szCs w:val="22"/>
        </w:rPr>
        <w:br w:type="page"/>
      </w:r>
      <w:r>
        <w:rPr>
          <w:b/>
          <w:bCs/>
          <w:sz w:val="22"/>
          <w:szCs w:val="22"/>
        </w:rPr>
        <w:lastRenderedPageBreak/>
        <w:t>3.</w:t>
      </w:r>
      <w:r>
        <w:rPr>
          <w:b/>
          <w:bCs/>
          <w:sz w:val="22"/>
          <w:szCs w:val="22"/>
        </w:rPr>
        <w:tab/>
        <w:t>ACQUIS D'APPRENTISSAGE</w:t>
      </w:r>
    </w:p>
    <w:p>
      <w:pPr>
        <w:rPr>
          <w:sz w:val="22"/>
          <w:szCs w:val="22"/>
        </w:rPr>
      </w:pPr>
    </w:p>
    <w:p>
      <w:pPr>
        <w:pStyle w:val="Corpsdetexte2"/>
        <w:rPr>
          <w:b/>
          <w:bCs/>
        </w:rPr>
      </w:pPr>
      <w:r>
        <w:rPr>
          <w:b/>
          <w:bCs/>
        </w:rPr>
        <w:t>Pour atteindre le seuil de réussite, l’étudiant devra prouver qu’il est capable de mettre en œuvre au moins deux des capacités suivantes, au choix du chargé de cours :</w:t>
      </w:r>
    </w:p>
    <w:p>
      <w:pPr>
        <w:ind w:left="426"/>
        <w:jc w:val="both"/>
        <w:rPr>
          <w:sz w:val="22"/>
          <w:szCs w:val="22"/>
        </w:rPr>
      </w:pPr>
    </w:p>
    <w:p>
      <w:pPr>
        <w:numPr>
          <w:ilvl w:val="0"/>
          <w:numId w:val="1"/>
        </w:numPr>
        <w:spacing w:after="240"/>
        <w:ind w:left="709"/>
        <w:jc w:val="both"/>
        <w:rPr>
          <w:sz w:val="22"/>
          <w:szCs w:val="22"/>
        </w:rPr>
      </w:pPr>
      <w:r>
        <w:rPr>
          <w:sz w:val="22"/>
          <w:szCs w:val="22"/>
        </w:rPr>
        <w:t>présenter et analyser de manière critique les principaux mécanismes économiques permettant d'expliquer, au choix :</w:t>
      </w:r>
    </w:p>
    <w:p>
      <w:pPr>
        <w:numPr>
          <w:ilvl w:val="0"/>
          <w:numId w:val="2"/>
        </w:numPr>
        <w:jc w:val="both"/>
        <w:rPr>
          <w:sz w:val="22"/>
          <w:szCs w:val="22"/>
        </w:rPr>
      </w:pPr>
      <w:r>
        <w:rPr>
          <w:sz w:val="22"/>
          <w:szCs w:val="22"/>
        </w:rPr>
        <w:t>la détermination des équilibres de marché (micro et macro-économiques),</w:t>
      </w:r>
    </w:p>
    <w:p>
      <w:pPr>
        <w:numPr>
          <w:ilvl w:val="0"/>
          <w:numId w:val="2"/>
        </w:numPr>
        <w:jc w:val="both"/>
        <w:rPr>
          <w:sz w:val="22"/>
          <w:szCs w:val="22"/>
        </w:rPr>
      </w:pPr>
      <w:r>
        <w:rPr>
          <w:sz w:val="22"/>
          <w:szCs w:val="22"/>
        </w:rPr>
        <w:t>les agrégats macro-économiques,</w:t>
      </w:r>
    </w:p>
    <w:p>
      <w:pPr>
        <w:numPr>
          <w:ilvl w:val="0"/>
          <w:numId w:val="2"/>
        </w:numPr>
        <w:jc w:val="both"/>
        <w:rPr>
          <w:sz w:val="22"/>
          <w:szCs w:val="22"/>
        </w:rPr>
      </w:pPr>
      <w:r>
        <w:rPr>
          <w:sz w:val="22"/>
          <w:szCs w:val="22"/>
        </w:rPr>
        <w:t>l'interaction entre les variables monétaires et réelles ;</w:t>
      </w:r>
    </w:p>
    <w:p>
      <w:pPr>
        <w:jc w:val="both"/>
        <w:rPr>
          <w:sz w:val="22"/>
          <w:szCs w:val="22"/>
        </w:rPr>
      </w:pPr>
    </w:p>
    <w:p>
      <w:pPr>
        <w:numPr>
          <w:ilvl w:val="0"/>
          <w:numId w:val="1"/>
        </w:numPr>
        <w:spacing w:after="240"/>
        <w:ind w:left="709"/>
        <w:jc w:val="both"/>
        <w:rPr>
          <w:sz w:val="22"/>
          <w:szCs w:val="22"/>
        </w:rPr>
      </w:pPr>
      <w:r>
        <w:rPr>
          <w:sz w:val="22"/>
          <w:szCs w:val="22"/>
        </w:rPr>
        <w:t>analyser les phénomènes liés à la croissance économique : revenus, emploi, cycles, inflation, chômage ... ;</w:t>
      </w:r>
    </w:p>
    <w:p>
      <w:pPr>
        <w:numPr>
          <w:ilvl w:val="0"/>
          <w:numId w:val="1"/>
        </w:numPr>
        <w:spacing w:after="240"/>
        <w:ind w:left="709"/>
        <w:jc w:val="both"/>
        <w:rPr>
          <w:sz w:val="22"/>
          <w:szCs w:val="22"/>
        </w:rPr>
      </w:pPr>
      <w:r>
        <w:rPr>
          <w:sz w:val="22"/>
          <w:szCs w:val="22"/>
        </w:rPr>
        <w:t>établir, à la lumière de faits contemporains, les relations entre les fondements théoriques développés par différents courants de la pensée économique et les principales politiques économiques mises en œuvre par les pouvoirs publics ;</w:t>
      </w:r>
    </w:p>
    <w:p>
      <w:pPr>
        <w:numPr>
          <w:ilvl w:val="0"/>
          <w:numId w:val="1"/>
        </w:numPr>
        <w:ind w:left="709"/>
        <w:jc w:val="both"/>
        <w:rPr>
          <w:sz w:val="22"/>
          <w:szCs w:val="22"/>
        </w:rPr>
      </w:pPr>
      <w:r>
        <w:rPr>
          <w:sz w:val="22"/>
          <w:szCs w:val="22"/>
        </w:rPr>
        <w:t>appliquer les concepts théoriques de la macro-économie pour :</w:t>
      </w:r>
    </w:p>
    <w:p>
      <w:pPr>
        <w:jc w:val="both"/>
        <w:rPr>
          <w:sz w:val="22"/>
          <w:szCs w:val="22"/>
        </w:rPr>
      </w:pPr>
    </w:p>
    <w:p>
      <w:pPr>
        <w:numPr>
          <w:ilvl w:val="0"/>
          <w:numId w:val="2"/>
        </w:numPr>
        <w:jc w:val="both"/>
        <w:rPr>
          <w:sz w:val="22"/>
          <w:szCs w:val="22"/>
        </w:rPr>
      </w:pPr>
      <w:r>
        <w:rPr>
          <w:sz w:val="22"/>
          <w:szCs w:val="22"/>
        </w:rPr>
        <w:t>cerner l'évolution récente des relations économiques internationales ;</w:t>
      </w:r>
    </w:p>
    <w:p>
      <w:pPr>
        <w:numPr>
          <w:ilvl w:val="0"/>
          <w:numId w:val="2"/>
        </w:numPr>
        <w:jc w:val="both"/>
        <w:rPr>
          <w:sz w:val="22"/>
          <w:szCs w:val="22"/>
        </w:rPr>
      </w:pPr>
      <w:r>
        <w:rPr>
          <w:sz w:val="22"/>
          <w:szCs w:val="22"/>
        </w:rPr>
        <w:t>apprécier les conséquences de la mondialisation de l'économie, de la libéralisation des échanges, du développement d'unions économiques ou monétaires.</w:t>
      </w:r>
    </w:p>
    <w:p>
      <w:pPr>
        <w:numPr>
          <w:ilvl w:val="12"/>
          <w:numId w:val="0"/>
        </w:numPr>
        <w:ind w:left="709" w:hanging="283"/>
        <w:jc w:val="both"/>
        <w:rPr>
          <w:sz w:val="22"/>
          <w:szCs w:val="22"/>
        </w:rPr>
      </w:pPr>
    </w:p>
    <w:p>
      <w:pPr>
        <w:ind w:left="426"/>
        <w:rPr>
          <w:sz w:val="22"/>
          <w:szCs w:val="22"/>
        </w:rPr>
      </w:pPr>
    </w:p>
    <w:p>
      <w:pPr>
        <w:pStyle w:val="Corpsdetexte2"/>
        <w:rPr>
          <w:b/>
          <w:bCs/>
        </w:rPr>
      </w:pPr>
      <w:r>
        <w:rPr>
          <w:b/>
          <w:bCs/>
        </w:rPr>
        <w:t xml:space="preserve">Pour la détermination du degré de maîtrise, </w:t>
      </w:r>
      <w:r>
        <w:rPr>
          <w:bCs/>
        </w:rPr>
        <w:t>il sera tenu compte :</w:t>
      </w:r>
    </w:p>
    <w:p>
      <w:pPr>
        <w:ind w:left="426"/>
        <w:jc w:val="both"/>
        <w:rPr>
          <w:sz w:val="22"/>
          <w:szCs w:val="22"/>
        </w:rPr>
      </w:pPr>
    </w:p>
    <w:p>
      <w:pPr>
        <w:numPr>
          <w:ilvl w:val="0"/>
          <w:numId w:val="1"/>
        </w:numPr>
        <w:ind w:left="709"/>
        <w:jc w:val="both"/>
        <w:rPr>
          <w:sz w:val="22"/>
          <w:szCs w:val="22"/>
        </w:rPr>
      </w:pPr>
      <w:r>
        <w:rPr>
          <w:sz w:val="22"/>
          <w:szCs w:val="22"/>
        </w:rPr>
        <w:t>du niveau de qualité de la présentation des mécanismes économiques ;</w:t>
      </w:r>
    </w:p>
    <w:p>
      <w:pPr>
        <w:numPr>
          <w:ilvl w:val="0"/>
          <w:numId w:val="1"/>
        </w:numPr>
        <w:ind w:left="709"/>
        <w:jc w:val="both"/>
        <w:rPr>
          <w:sz w:val="22"/>
          <w:szCs w:val="22"/>
        </w:rPr>
      </w:pPr>
      <w:r>
        <w:rPr>
          <w:sz w:val="22"/>
          <w:szCs w:val="22"/>
        </w:rPr>
        <w:t>du degré de pertinence de l’analyse ;</w:t>
      </w:r>
    </w:p>
    <w:p>
      <w:pPr>
        <w:numPr>
          <w:ilvl w:val="0"/>
          <w:numId w:val="1"/>
        </w:numPr>
        <w:ind w:left="709"/>
        <w:jc w:val="both"/>
        <w:rPr>
          <w:sz w:val="22"/>
          <w:szCs w:val="22"/>
        </w:rPr>
      </w:pPr>
      <w:r>
        <w:rPr>
          <w:sz w:val="22"/>
          <w:szCs w:val="22"/>
        </w:rPr>
        <w:t>du niveau de précision du vocabulaire utilisé.</w:t>
      </w:r>
    </w:p>
    <w:p>
      <w:pPr>
        <w:rPr>
          <w:sz w:val="22"/>
          <w:szCs w:val="22"/>
        </w:rPr>
      </w:pPr>
    </w:p>
    <w:p>
      <w:pPr>
        <w:rPr>
          <w:b/>
          <w:bCs/>
          <w:sz w:val="22"/>
          <w:szCs w:val="22"/>
        </w:rPr>
      </w:pPr>
    </w:p>
    <w:p>
      <w:pPr>
        <w:ind w:left="426" w:hanging="426"/>
        <w:rPr>
          <w:b/>
          <w:bCs/>
          <w:sz w:val="22"/>
          <w:szCs w:val="22"/>
        </w:rPr>
      </w:pPr>
      <w:r>
        <w:rPr>
          <w:b/>
          <w:bCs/>
          <w:sz w:val="22"/>
          <w:szCs w:val="22"/>
        </w:rPr>
        <w:t>4.</w:t>
      </w:r>
      <w:r>
        <w:rPr>
          <w:b/>
          <w:bCs/>
          <w:sz w:val="22"/>
          <w:szCs w:val="22"/>
        </w:rPr>
        <w:tab/>
        <w:t>PROGRAMME</w:t>
      </w:r>
    </w:p>
    <w:p>
      <w:pPr>
        <w:rPr>
          <w:b/>
          <w:bCs/>
          <w:sz w:val="22"/>
          <w:szCs w:val="22"/>
        </w:rPr>
      </w:pPr>
    </w:p>
    <w:p>
      <w:pPr>
        <w:ind w:left="426"/>
        <w:rPr>
          <w:sz w:val="22"/>
          <w:szCs w:val="22"/>
        </w:rPr>
      </w:pPr>
      <w:r>
        <w:rPr>
          <w:bCs/>
          <w:sz w:val="22"/>
          <w:szCs w:val="22"/>
        </w:rPr>
        <w:t>L'étudiant sera capable :</w:t>
      </w:r>
    </w:p>
    <w:p>
      <w:pPr>
        <w:ind w:left="426"/>
        <w:jc w:val="both"/>
        <w:rPr>
          <w:sz w:val="22"/>
          <w:szCs w:val="22"/>
        </w:rPr>
      </w:pPr>
    </w:p>
    <w:p>
      <w:pPr>
        <w:numPr>
          <w:ilvl w:val="0"/>
          <w:numId w:val="1"/>
        </w:numPr>
        <w:ind w:left="709"/>
        <w:jc w:val="both"/>
        <w:rPr>
          <w:sz w:val="22"/>
          <w:szCs w:val="22"/>
        </w:rPr>
      </w:pPr>
      <w:r>
        <w:rPr>
          <w:sz w:val="22"/>
          <w:szCs w:val="22"/>
        </w:rPr>
        <w:t>de présenter et d’analyser de manière critique les principaux mécanismes économiques :</w:t>
      </w:r>
    </w:p>
    <w:p>
      <w:pPr>
        <w:numPr>
          <w:ilvl w:val="0"/>
          <w:numId w:val="2"/>
        </w:numPr>
        <w:jc w:val="both"/>
        <w:rPr>
          <w:sz w:val="22"/>
          <w:szCs w:val="22"/>
        </w:rPr>
      </w:pPr>
      <w:r>
        <w:rPr>
          <w:sz w:val="22"/>
          <w:szCs w:val="22"/>
        </w:rPr>
        <w:t>le circuit économique fondamental et le rôle des marchés, facteurs et agents,</w:t>
      </w:r>
    </w:p>
    <w:p>
      <w:pPr>
        <w:numPr>
          <w:ilvl w:val="0"/>
          <w:numId w:val="2"/>
        </w:numPr>
        <w:jc w:val="both"/>
        <w:rPr>
          <w:sz w:val="22"/>
          <w:szCs w:val="22"/>
        </w:rPr>
      </w:pPr>
      <w:r>
        <w:rPr>
          <w:sz w:val="22"/>
          <w:szCs w:val="22"/>
        </w:rPr>
        <w:t>l'offre et la demande sur les marchés,</w:t>
      </w:r>
    </w:p>
    <w:p>
      <w:pPr>
        <w:numPr>
          <w:ilvl w:val="0"/>
          <w:numId w:val="2"/>
        </w:numPr>
        <w:jc w:val="both"/>
        <w:rPr>
          <w:sz w:val="22"/>
          <w:szCs w:val="22"/>
        </w:rPr>
      </w:pPr>
      <w:r>
        <w:rPr>
          <w:sz w:val="22"/>
          <w:szCs w:val="22"/>
        </w:rPr>
        <w:t>la détermination des équilibres de marché (micro et macro-économiques),</w:t>
      </w:r>
    </w:p>
    <w:p>
      <w:pPr>
        <w:numPr>
          <w:ilvl w:val="0"/>
          <w:numId w:val="2"/>
        </w:numPr>
        <w:jc w:val="both"/>
        <w:rPr>
          <w:sz w:val="22"/>
          <w:szCs w:val="22"/>
        </w:rPr>
      </w:pPr>
      <w:r>
        <w:rPr>
          <w:sz w:val="22"/>
          <w:szCs w:val="22"/>
        </w:rPr>
        <w:t>les agrégats macro-économiques,</w:t>
      </w:r>
    </w:p>
    <w:p>
      <w:pPr>
        <w:numPr>
          <w:ilvl w:val="0"/>
          <w:numId w:val="2"/>
        </w:numPr>
        <w:jc w:val="both"/>
        <w:rPr>
          <w:sz w:val="22"/>
          <w:szCs w:val="22"/>
        </w:rPr>
      </w:pPr>
      <w:r>
        <w:rPr>
          <w:sz w:val="22"/>
          <w:szCs w:val="22"/>
        </w:rPr>
        <w:t>les phénomènes monétaires et leur interaction avec les variables réelles ;</w:t>
      </w:r>
    </w:p>
    <w:p>
      <w:pPr>
        <w:numPr>
          <w:ilvl w:val="0"/>
          <w:numId w:val="1"/>
        </w:numPr>
        <w:ind w:left="709"/>
        <w:jc w:val="both"/>
        <w:rPr>
          <w:sz w:val="22"/>
          <w:szCs w:val="22"/>
        </w:rPr>
      </w:pPr>
      <w:r>
        <w:rPr>
          <w:sz w:val="22"/>
          <w:szCs w:val="22"/>
        </w:rPr>
        <w:t>de mettre en évidence le rôle de la croissance économique dans nos sociétés contemporaines : variation du revenu national et du volume de l'emploi ;</w:t>
      </w:r>
    </w:p>
    <w:p>
      <w:pPr>
        <w:numPr>
          <w:ilvl w:val="0"/>
          <w:numId w:val="1"/>
        </w:numPr>
        <w:ind w:left="709"/>
        <w:jc w:val="both"/>
        <w:rPr>
          <w:sz w:val="22"/>
          <w:szCs w:val="22"/>
        </w:rPr>
      </w:pPr>
      <w:r>
        <w:rPr>
          <w:sz w:val="22"/>
          <w:szCs w:val="22"/>
        </w:rPr>
        <w:t>d’analyser et critiquer les problèmes liés à la croissance économique : cycles économiques, chômage, inflation, stagflation, épuisement des ressources naturelles, changements climatiques, évolution technologique, mondialisation ... ;</w:t>
      </w:r>
    </w:p>
    <w:p>
      <w:pPr>
        <w:numPr>
          <w:ilvl w:val="0"/>
          <w:numId w:val="1"/>
        </w:numPr>
        <w:ind w:left="709"/>
        <w:jc w:val="both"/>
        <w:rPr>
          <w:sz w:val="22"/>
          <w:szCs w:val="22"/>
        </w:rPr>
      </w:pPr>
      <w:r>
        <w:rPr>
          <w:sz w:val="22"/>
          <w:szCs w:val="22"/>
        </w:rPr>
        <w:t>de mettre en évidence et évaluer les principales politiques économiques mises en œuvre par les pouvoirs publics ;</w:t>
      </w:r>
    </w:p>
    <w:p>
      <w:pPr>
        <w:ind w:left="426"/>
        <w:jc w:val="both"/>
        <w:rPr>
          <w:sz w:val="22"/>
          <w:szCs w:val="22"/>
        </w:rPr>
      </w:pPr>
      <w:r>
        <w:rPr>
          <w:sz w:val="22"/>
          <w:szCs w:val="22"/>
        </w:rPr>
        <w:br w:type="page"/>
      </w:r>
    </w:p>
    <w:p>
      <w:pPr>
        <w:numPr>
          <w:ilvl w:val="0"/>
          <w:numId w:val="1"/>
        </w:numPr>
        <w:ind w:left="709"/>
        <w:jc w:val="both"/>
        <w:rPr>
          <w:sz w:val="22"/>
          <w:szCs w:val="22"/>
        </w:rPr>
      </w:pPr>
      <w:r>
        <w:rPr>
          <w:sz w:val="22"/>
          <w:szCs w:val="22"/>
        </w:rPr>
        <w:t>d’appréhender les évolutions récentes en matière de relations économiques et monétaires internationales, en mettant en évidence le rôle des structures institutionnelles supranationales (Organisation Mondiale du Commerce, Banque Mondiale, Fonds Monétaire International, institutions européennes) et en appliquant les concepts théoriques de la macro-économie pour en évaluer les conséquences ;</w:t>
      </w:r>
    </w:p>
    <w:p>
      <w:pPr>
        <w:numPr>
          <w:ilvl w:val="0"/>
          <w:numId w:val="1"/>
        </w:numPr>
        <w:ind w:left="709"/>
        <w:jc w:val="both"/>
        <w:rPr>
          <w:sz w:val="22"/>
          <w:szCs w:val="22"/>
        </w:rPr>
      </w:pPr>
      <w:r>
        <w:rPr>
          <w:sz w:val="22"/>
          <w:szCs w:val="22"/>
        </w:rPr>
        <w:t>d’analyser et confronter des fondements théoriques développés par différents courants de la pensée économique tels que classique, marxiste, keynésienne, monétariste, néokeynésienne en saisissant leurs relations avec les phénomènes politiques et sociaux.</w:t>
      </w:r>
    </w:p>
    <w:p>
      <w:pPr>
        <w:rPr>
          <w:sz w:val="22"/>
          <w:szCs w:val="22"/>
        </w:rPr>
      </w:pPr>
    </w:p>
    <w:p>
      <w:pPr>
        <w:rPr>
          <w:sz w:val="22"/>
          <w:szCs w:val="22"/>
        </w:rPr>
      </w:pPr>
    </w:p>
    <w:p>
      <w:pPr>
        <w:rPr>
          <w:sz w:val="22"/>
          <w:szCs w:val="22"/>
        </w:rPr>
      </w:pPr>
    </w:p>
    <w:p>
      <w:pPr>
        <w:ind w:left="426" w:hanging="426"/>
        <w:rPr>
          <w:b/>
          <w:bCs/>
          <w:sz w:val="22"/>
          <w:szCs w:val="22"/>
        </w:rPr>
      </w:pPr>
      <w:r>
        <w:rPr>
          <w:b/>
          <w:bCs/>
          <w:sz w:val="22"/>
          <w:szCs w:val="22"/>
        </w:rPr>
        <w:t>5.</w:t>
      </w:r>
      <w:r>
        <w:rPr>
          <w:b/>
          <w:bCs/>
          <w:sz w:val="22"/>
          <w:szCs w:val="22"/>
        </w:rPr>
        <w:tab/>
        <w:t>CHARGE(S) DE COURS</w:t>
      </w:r>
    </w:p>
    <w:p>
      <w:pPr>
        <w:rPr>
          <w:sz w:val="22"/>
          <w:szCs w:val="22"/>
        </w:rPr>
      </w:pPr>
    </w:p>
    <w:p>
      <w:pPr>
        <w:ind w:left="426"/>
        <w:jc w:val="both"/>
        <w:rPr>
          <w:sz w:val="22"/>
        </w:rPr>
      </w:pPr>
      <w:r>
        <w:rPr>
          <w:sz w:val="22"/>
        </w:rPr>
        <w:t>Le chargé de cours sera un enseignant ou un expert.</w:t>
      </w:r>
    </w:p>
    <w:p>
      <w:pPr>
        <w:ind w:left="426"/>
        <w:jc w:val="both"/>
        <w:rPr>
          <w:sz w:val="22"/>
        </w:rPr>
      </w:pPr>
    </w:p>
    <w:p>
      <w:pPr>
        <w:ind w:left="426"/>
        <w:jc w:val="both"/>
        <w:rPr>
          <w:sz w:val="22"/>
        </w:rPr>
      </w:pPr>
      <w:r>
        <w:rPr>
          <w:sz w:val="22"/>
        </w:rPr>
        <w:t>L’expert devra justifier de compétences particulières issues d’une expérience professionnelle actualisée en relation avec le programme du présent dossier pédagogique.</w:t>
      </w:r>
    </w:p>
    <w:p>
      <w:pPr>
        <w:ind w:left="426"/>
        <w:rPr>
          <w:sz w:val="22"/>
          <w:szCs w:val="22"/>
        </w:rPr>
      </w:pPr>
    </w:p>
    <w:p>
      <w:pPr>
        <w:rPr>
          <w:sz w:val="22"/>
          <w:szCs w:val="22"/>
        </w:rPr>
      </w:pPr>
    </w:p>
    <w:p>
      <w:pPr>
        <w:rPr>
          <w:sz w:val="22"/>
          <w:szCs w:val="22"/>
        </w:rPr>
      </w:pPr>
    </w:p>
    <w:p>
      <w:pPr>
        <w:ind w:left="426" w:hanging="426"/>
        <w:rPr>
          <w:b/>
          <w:bCs/>
          <w:sz w:val="22"/>
          <w:szCs w:val="22"/>
        </w:rPr>
      </w:pPr>
      <w:r>
        <w:rPr>
          <w:b/>
          <w:bCs/>
          <w:sz w:val="22"/>
          <w:szCs w:val="22"/>
        </w:rPr>
        <w:t>6.</w:t>
      </w:r>
      <w:r>
        <w:rPr>
          <w:b/>
          <w:bCs/>
          <w:sz w:val="22"/>
          <w:szCs w:val="22"/>
        </w:rPr>
        <w:tab/>
        <w:t>CONSTITUTION DES GROUPES OU REGROUPEMENT</w:t>
      </w:r>
    </w:p>
    <w:p>
      <w:pPr>
        <w:rPr>
          <w:sz w:val="22"/>
          <w:szCs w:val="22"/>
        </w:rPr>
      </w:pPr>
    </w:p>
    <w:p>
      <w:pPr>
        <w:ind w:left="426"/>
        <w:jc w:val="both"/>
        <w:rPr>
          <w:sz w:val="22"/>
          <w:szCs w:val="22"/>
        </w:rPr>
      </w:pPr>
      <w:r>
        <w:rPr>
          <w:sz w:val="22"/>
          <w:szCs w:val="22"/>
        </w:rPr>
        <w:t>Aucune recommandation particulière.</w:t>
      </w:r>
    </w:p>
    <w:p>
      <w:pPr>
        <w:ind w:left="426"/>
        <w:jc w:val="both"/>
        <w:rPr>
          <w:sz w:val="22"/>
          <w:szCs w:val="22"/>
        </w:rPr>
      </w:pPr>
    </w:p>
    <w:p>
      <w:pPr>
        <w:ind w:left="426"/>
        <w:jc w:val="both"/>
        <w:rPr>
          <w:sz w:val="22"/>
          <w:szCs w:val="22"/>
        </w:rPr>
      </w:pPr>
    </w:p>
    <w:p>
      <w:pPr>
        <w:ind w:left="426"/>
        <w:jc w:val="both"/>
        <w:rPr>
          <w:sz w:val="22"/>
          <w:szCs w:val="22"/>
        </w:rPr>
      </w:pPr>
    </w:p>
    <w:p>
      <w:pPr>
        <w:ind w:left="426" w:hanging="426"/>
        <w:rPr>
          <w:b/>
          <w:bCs/>
          <w:sz w:val="22"/>
          <w:szCs w:val="22"/>
        </w:rPr>
      </w:pPr>
      <w:r>
        <w:rPr>
          <w:b/>
          <w:bCs/>
          <w:sz w:val="22"/>
          <w:szCs w:val="22"/>
        </w:rPr>
        <w:t>7.</w:t>
      </w:r>
      <w:r>
        <w:rPr>
          <w:b/>
          <w:bCs/>
          <w:sz w:val="22"/>
          <w:szCs w:val="22"/>
        </w:rPr>
        <w:tab/>
        <w:t>HORAIRE MINIMUM DE L’UNITE D'ENSEIGNEMENT</w:t>
      </w:r>
    </w:p>
    <w:p>
      <w:pPr>
        <w:numPr>
          <w:ilvl w:val="12"/>
          <w:numId w:val="0"/>
        </w:numPr>
        <w:ind w:left="708" w:hanging="708"/>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3"/>
        <w:gridCol w:w="1701"/>
        <w:gridCol w:w="1701"/>
        <w:gridCol w:w="1701"/>
      </w:tblGrid>
      <w:tr>
        <w:tc>
          <w:tcPr>
            <w:tcW w:w="4253" w:type="dxa"/>
            <w:tcBorders>
              <w:top w:val="single" w:sz="12" w:space="0" w:color="auto"/>
              <w:left w:val="single" w:sz="12" w:space="0" w:color="auto"/>
              <w:bottom w:val="single" w:sz="12" w:space="0" w:color="auto"/>
            </w:tcBorders>
          </w:tcPr>
          <w:p>
            <w:pPr>
              <w:ind w:left="426"/>
              <w:rPr>
                <w:b/>
                <w:bCs/>
              </w:rPr>
            </w:pPr>
            <w:r>
              <w:rPr>
                <w:b/>
                <w:bCs/>
              </w:rPr>
              <w:t>7.1. Dénomination du cours</w:t>
            </w:r>
          </w:p>
        </w:tc>
        <w:tc>
          <w:tcPr>
            <w:tcW w:w="1701" w:type="dxa"/>
            <w:tcBorders>
              <w:top w:val="single" w:sz="12" w:space="0" w:color="auto"/>
              <w:bottom w:val="single" w:sz="12" w:space="0" w:color="auto"/>
            </w:tcBorders>
          </w:tcPr>
          <w:p>
            <w:pPr>
              <w:jc w:val="center"/>
            </w:pPr>
            <w:r>
              <w:t>Classement</w:t>
            </w:r>
          </w:p>
        </w:tc>
        <w:tc>
          <w:tcPr>
            <w:tcW w:w="1701" w:type="dxa"/>
            <w:tcBorders>
              <w:top w:val="single" w:sz="12" w:space="0" w:color="auto"/>
              <w:bottom w:val="single" w:sz="12" w:space="0" w:color="auto"/>
            </w:tcBorders>
          </w:tcPr>
          <w:p>
            <w:pPr>
              <w:jc w:val="center"/>
            </w:pPr>
            <w:r>
              <w:t>Code U</w:t>
            </w:r>
          </w:p>
        </w:tc>
        <w:tc>
          <w:tcPr>
            <w:tcW w:w="1701" w:type="dxa"/>
            <w:tcBorders>
              <w:top w:val="single" w:sz="12" w:space="0" w:color="auto"/>
              <w:bottom w:val="single" w:sz="12" w:space="0" w:color="auto"/>
              <w:right w:val="single" w:sz="12" w:space="0" w:color="auto"/>
            </w:tcBorders>
          </w:tcPr>
          <w:p>
            <w:pPr>
              <w:jc w:val="center"/>
            </w:pPr>
            <w:r>
              <w:t>Nombre de périodes</w:t>
            </w:r>
          </w:p>
        </w:tc>
      </w:tr>
      <w:tr>
        <w:tc>
          <w:tcPr>
            <w:tcW w:w="4253" w:type="dxa"/>
            <w:tcBorders>
              <w:top w:val="nil"/>
              <w:left w:val="single" w:sz="12" w:space="0" w:color="auto"/>
            </w:tcBorders>
          </w:tcPr>
          <w:p>
            <w:r>
              <w:t>Faits et institutions économiques</w:t>
            </w:r>
          </w:p>
        </w:tc>
        <w:tc>
          <w:tcPr>
            <w:tcW w:w="1701" w:type="dxa"/>
            <w:tcBorders>
              <w:top w:val="nil"/>
            </w:tcBorders>
          </w:tcPr>
          <w:p>
            <w:pPr>
              <w:jc w:val="center"/>
            </w:pPr>
            <w:r>
              <w:t>CT</w:t>
            </w:r>
          </w:p>
        </w:tc>
        <w:tc>
          <w:tcPr>
            <w:tcW w:w="1701" w:type="dxa"/>
            <w:tcBorders>
              <w:top w:val="nil"/>
            </w:tcBorders>
          </w:tcPr>
          <w:p>
            <w:pPr>
              <w:ind w:right="567"/>
              <w:jc w:val="right"/>
            </w:pPr>
            <w:r>
              <w:t>B</w:t>
            </w:r>
          </w:p>
        </w:tc>
        <w:tc>
          <w:tcPr>
            <w:tcW w:w="1701" w:type="dxa"/>
            <w:tcBorders>
              <w:top w:val="nil"/>
              <w:right w:val="single" w:sz="12" w:space="0" w:color="auto"/>
            </w:tcBorders>
          </w:tcPr>
          <w:p>
            <w:pPr>
              <w:ind w:right="567"/>
              <w:jc w:val="right"/>
            </w:pPr>
            <w:r>
              <w:t>48</w:t>
            </w:r>
          </w:p>
        </w:tc>
      </w:tr>
      <w:tr>
        <w:tc>
          <w:tcPr>
            <w:tcW w:w="5954" w:type="dxa"/>
            <w:gridSpan w:val="2"/>
            <w:tcBorders>
              <w:left w:val="single" w:sz="12" w:space="0" w:color="auto"/>
              <w:bottom w:val="nil"/>
            </w:tcBorders>
          </w:tcPr>
          <w:p>
            <w:pPr>
              <w:ind w:left="426"/>
              <w:rPr>
                <w:b/>
                <w:bCs/>
              </w:rPr>
            </w:pPr>
            <w:r>
              <w:rPr>
                <w:b/>
                <w:bCs/>
              </w:rPr>
              <w:t>7.2. Part d’autonomie</w:t>
            </w:r>
          </w:p>
        </w:tc>
        <w:tc>
          <w:tcPr>
            <w:tcW w:w="1701" w:type="dxa"/>
            <w:tcBorders>
              <w:bottom w:val="nil"/>
            </w:tcBorders>
          </w:tcPr>
          <w:p>
            <w:pPr>
              <w:ind w:right="567"/>
              <w:jc w:val="right"/>
            </w:pPr>
            <w:r>
              <w:t>P</w:t>
            </w:r>
          </w:p>
        </w:tc>
        <w:tc>
          <w:tcPr>
            <w:tcW w:w="1701" w:type="dxa"/>
            <w:tcBorders>
              <w:bottom w:val="nil"/>
              <w:right w:val="single" w:sz="12" w:space="0" w:color="auto"/>
            </w:tcBorders>
          </w:tcPr>
          <w:p>
            <w:pPr>
              <w:ind w:right="567"/>
              <w:jc w:val="right"/>
            </w:pPr>
            <w:r>
              <w:t>12</w:t>
            </w:r>
          </w:p>
        </w:tc>
      </w:tr>
      <w:tr>
        <w:tc>
          <w:tcPr>
            <w:tcW w:w="5954" w:type="dxa"/>
            <w:gridSpan w:val="2"/>
            <w:tcBorders>
              <w:top w:val="single" w:sz="12" w:space="0" w:color="auto"/>
              <w:left w:val="single" w:sz="12" w:space="0" w:color="auto"/>
              <w:bottom w:val="single" w:sz="12" w:space="0" w:color="auto"/>
              <w:right w:val="nil"/>
            </w:tcBorders>
          </w:tcPr>
          <w:p>
            <w:r>
              <w:t>Total des périodes</w:t>
            </w:r>
          </w:p>
        </w:tc>
        <w:tc>
          <w:tcPr>
            <w:tcW w:w="1701" w:type="dxa"/>
            <w:tcBorders>
              <w:top w:val="single" w:sz="12" w:space="0" w:color="auto"/>
              <w:left w:val="nil"/>
              <w:bottom w:val="single" w:sz="12" w:space="0" w:color="auto"/>
              <w:right w:val="nil"/>
            </w:tcBorders>
          </w:tcPr>
          <w:p>
            <w:pPr>
              <w:ind w:right="709"/>
              <w:jc w:val="right"/>
            </w:pPr>
          </w:p>
        </w:tc>
        <w:tc>
          <w:tcPr>
            <w:tcW w:w="1701" w:type="dxa"/>
            <w:tcBorders>
              <w:top w:val="single" w:sz="12" w:space="0" w:color="auto"/>
              <w:bottom w:val="single" w:sz="12" w:space="0" w:color="auto"/>
              <w:right w:val="single" w:sz="12" w:space="0" w:color="auto"/>
            </w:tcBorders>
          </w:tcPr>
          <w:p>
            <w:pPr>
              <w:ind w:right="567"/>
              <w:jc w:val="right"/>
            </w:pPr>
            <w:r>
              <w:t>60</w:t>
            </w:r>
          </w:p>
        </w:tc>
      </w:tr>
    </w:tbl>
    <w:p>
      <w:pPr>
        <w:numPr>
          <w:ilvl w:val="12"/>
          <w:numId w:val="0"/>
        </w:numPr>
        <w:ind w:firstLine="1"/>
        <w:rPr>
          <w:sz w:val="22"/>
          <w:szCs w:val="22"/>
        </w:rPr>
      </w:pPr>
    </w:p>
    <w:p>
      <w:pPr>
        <w:ind w:left="426"/>
        <w:jc w:val="both"/>
      </w:pPr>
    </w:p>
    <w:sectPr>
      <w:footerReference w:type="default" r:id="rId7"/>
      <w:pgSz w:w="11907" w:h="16840"/>
      <w:pgMar w:top="1418" w:right="1418" w:bottom="1418"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Serif">
    <w:panose1 w:val="040005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4536"/>
        <w:tab w:val="center" w:pos="5245"/>
      </w:tabs>
      <w:rPr>
        <w:sz w:val="18"/>
        <w:szCs w:val="18"/>
        <w:lang w:val="fr-BE"/>
      </w:rPr>
    </w:pPr>
    <w:r>
      <w:rPr>
        <w:sz w:val="18"/>
        <w:szCs w:val="18"/>
        <w:lang w:val="fr-BE"/>
      </w:rPr>
      <w:t>UE Faits et institutions économiques</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2</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pPr>
      <w:pStyle w:val="Pieddepage"/>
      <w:rPr>
        <w:sz w:val="16"/>
        <w:szCs w:val="16"/>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9430B9-C812-4D22-9BCC-6AD3347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val="fr-FR" w:eastAsia="fr-FR"/>
    </w:rPr>
  </w:style>
  <w:style w:type="paragraph" w:styleId="Titre1">
    <w:name w:val="heading 1"/>
    <w:basedOn w:val="Normal"/>
    <w:next w:val="Normal"/>
    <w:link w:val="Titre1Car"/>
    <w:uiPriority w:val="99"/>
    <w:qFormat/>
    <w:pPr>
      <w:keepNext/>
      <w:jc w:val="center"/>
      <w:outlineLvl w:val="0"/>
    </w:pPr>
    <w:rPr>
      <w:b/>
      <w:bCs/>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lang w:val="fr-FR" w:eastAsia="fr-FR"/>
    </w:rPr>
  </w:style>
  <w:style w:type="paragraph" w:customStyle="1" w:styleId="Texte">
    <w:name w:val="Texte"/>
    <w:basedOn w:val="Normal"/>
    <w:rPr>
      <w:rFonts w:ascii="MS Serif" w:hAnsi="MS Serif" w:cs="MS Serif"/>
      <w:noProof/>
      <w:lang w:val="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locked/>
    <w:rPr>
      <w:rFonts w:cs="Times New Roman"/>
      <w:sz w:val="20"/>
      <w:szCs w:val="20"/>
      <w:lang w:val="fr-FR" w:eastAsia="fr-FR"/>
    </w:rPr>
  </w:style>
  <w:style w:type="character" w:styleId="Numrodepage">
    <w:name w:val="page number"/>
    <w:uiPriority w:val="99"/>
    <w:rPr>
      <w:rFonts w:cs="Times New Roman"/>
    </w:rPr>
  </w:style>
  <w:style w:type="paragraph" w:styleId="Corpsdetexte2">
    <w:name w:val="Body Text 2"/>
    <w:basedOn w:val="Normal"/>
    <w:link w:val="Corpsdetexte2Car"/>
    <w:uiPriority w:val="99"/>
    <w:pPr>
      <w:ind w:left="426"/>
      <w:jc w:val="both"/>
    </w:pPr>
    <w:rPr>
      <w:sz w:val="22"/>
      <w:szCs w:val="22"/>
    </w:r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355012-8CCA-40D1-BD44-76937ED2E610}"/>
</file>

<file path=customXml/itemProps2.xml><?xml version="1.0" encoding="utf-8"?>
<ds:datastoreItem xmlns:ds="http://schemas.openxmlformats.org/officeDocument/2006/customXml" ds:itemID="{41B133E8-8CAD-41F1-98D2-268304EA88E0}"/>
</file>

<file path=customXml/itemProps3.xml><?xml version="1.0" encoding="utf-8"?>
<ds:datastoreItem xmlns:ds="http://schemas.openxmlformats.org/officeDocument/2006/customXml" ds:itemID="{FF1BC733-C10E-4B69-B5F0-B45E9E07CDFA}"/>
</file>

<file path=docProps/app.xml><?xml version="1.0" encoding="utf-8"?>
<Properties xmlns="http://schemas.openxmlformats.org/officeDocument/2006/extended-properties" xmlns:vt="http://schemas.openxmlformats.org/officeDocument/2006/docPropsVTypes">
  <Template>Normal.dotm</Template>
  <TotalTime>1</TotalTime>
  <Pages>4</Pages>
  <Words>810</Words>
  <Characters>4459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EPS</Company>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Nicole LOGNARD</dc:creator>
  <cp:lastModifiedBy>goulet02</cp:lastModifiedBy>
  <cp:revision>3</cp:revision>
  <cp:lastPrinted>1998-12-23T08:12:00Z</cp:lastPrinted>
  <dcterms:created xsi:type="dcterms:W3CDTF">2017-05-10T15:08:00Z</dcterms:created>
  <dcterms:modified xsi:type="dcterms:W3CDTF">2018-10-11T13:24:00Z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