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outlineLvl w:val="0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outlineLvl w:val="0"/>
        <w:rPr>
          <w:rFonts w:ascii="Times New Roman" w:hAnsi="Times New Roman"/>
          <w:b/>
          <w:noProof w:val="0"/>
          <w:sz w:val="18"/>
        </w:rPr>
      </w:pPr>
      <w:r>
        <w:rPr>
          <w:rFonts w:ascii="Times New Roman" w:hAnsi="Times New Roman"/>
          <w:b/>
          <w:noProof w:val="0"/>
          <w:sz w:val="18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outlineLvl w:val="0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rPr>
          <w:rFonts w:ascii="Times New Roman" w:hAnsi="Times New Roman"/>
          <w:b/>
          <w:noProof w:val="0"/>
          <w:sz w:val="28"/>
        </w:rPr>
      </w:pPr>
    </w:p>
    <w:p/>
    <w:p/>
    <w:p>
      <w:pPr>
        <w:jc w:val="center"/>
        <w:outlineLvl w:val="0"/>
        <w:rPr>
          <w:b/>
          <w:sz w:val="22"/>
        </w:rPr>
      </w:pPr>
      <w:r>
        <w:rPr>
          <w:b/>
          <w:sz w:val="22"/>
        </w:rPr>
        <w:t>UNITE D’ENSEIGNEMENT</w:t>
      </w:r>
    </w:p>
    <w:p>
      <w:pPr>
        <w:jc w:val="center"/>
        <w:rPr>
          <w:sz w:val="22"/>
        </w:rPr>
      </w:pPr>
    </w:p>
    <w:p>
      <w:pPr>
        <w:jc w:val="center"/>
        <w:rPr>
          <w:sz w:val="22"/>
        </w:rPr>
      </w:pPr>
    </w:p>
    <w:p>
      <w:pPr>
        <w:jc w:val="center"/>
        <w:rPr>
          <w:sz w:val="22"/>
        </w:rPr>
      </w:pPr>
    </w:p>
    <w:p>
      <w:pPr>
        <w:jc w:val="center"/>
        <w:outlineLvl w:val="0"/>
      </w:pPr>
      <w:r>
        <w:rPr>
          <w:b/>
          <w:caps/>
          <w:sz w:val="32"/>
        </w:rPr>
        <w:t>Droit CIVIL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</w:rPr>
      </w:pPr>
      <w:r>
        <w:rPr>
          <w:rFonts w:ascii="Times New Roman" w:hAnsi="Times New Roman"/>
          <w:b/>
          <w:bCs/>
          <w:noProof w:val="0"/>
          <w:sz w:val="22"/>
          <w:szCs w:val="22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juridiques</w:t>
      </w:r>
    </w:p>
    <w:p/>
    <w:p/>
    <w:p/>
    <w:p/>
    <w:p/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</w:p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: 71 32 01 U 32 D2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 : 703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  <w:p>
            <w:pPr>
              <w:pStyle w:val="Texte"/>
              <w:rPr>
                <w:rFonts w:ascii="Times New Roman" w:hAnsi="Times New Roman"/>
                <w:noProof w:val="0"/>
                <w:sz w:val="22"/>
              </w:rPr>
            </w:pPr>
          </w:p>
        </w:tc>
      </w:tr>
    </w:tbl>
    <w:p/>
    <w:p/>
    <w:p/>
    <w:p/>
    <w:p/>
    <w:p/>
    <w:p/>
    <w:p/>
    <w:p>
      <w:pPr>
        <w:jc w:val="center"/>
        <w:outlineLvl w:val="0"/>
        <w:rPr>
          <w:b/>
        </w:rPr>
      </w:pPr>
      <w:r>
        <w:rPr>
          <w:b/>
        </w:rPr>
        <w:t>Approbation du Gouvernement de la Communauté française du 08 juillet 1999</w:t>
      </w:r>
      <w:bookmarkStart w:id="0" w:name="_GoBack"/>
      <w:bookmarkEnd w:id="0"/>
      <w:r>
        <w:rPr>
          <w:b/>
        </w:rPr>
        <w:t>,</w:t>
      </w:r>
    </w:p>
    <w:p>
      <w:pPr>
        <w:jc w:val="center"/>
        <w:rPr>
          <w:b/>
        </w:rPr>
      </w:pPr>
      <w:r>
        <w:rPr>
          <w:b/>
        </w:rPr>
        <w:t>sur avis conforme du Conseil général</w:t>
      </w:r>
    </w:p>
    <w:p>
      <w:pPr>
        <w:pStyle w:val="Texte"/>
        <w:widowControl/>
      </w:pPr>
      <w:r>
        <w:br w:type="page"/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rPr>
          <w:jc w:val="center"/>
        </w:trPr>
        <w:tc>
          <w:tcPr>
            <w:tcW w:w="9212" w:type="dxa"/>
          </w:tcPr>
          <w:p>
            <w:pPr>
              <w:rPr>
                <w:b/>
              </w:rPr>
            </w:pPr>
            <w:r>
              <w:rPr>
                <w:b/>
                <w:sz w:val="28"/>
              </w:rPr>
              <w:lastRenderedPageBreak/>
              <w:br w:type="page"/>
            </w:r>
          </w:p>
          <w:p>
            <w:pPr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droit civil</w:t>
            </w:r>
          </w:p>
          <w:p>
            <w:pPr>
              <w:jc w:val="center"/>
              <w:rPr>
                <w:b/>
                <w:sz w:val="28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/>
    <w:p/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t>FINALITES DE L’UNITE D’ENSEIGNEMENT</w:t>
      </w:r>
    </w:p>
    <w:p/>
    <w:p>
      <w:pPr>
        <w:numPr>
          <w:ilvl w:val="1"/>
          <w:numId w:val="17"/>
        </w:numPr>
        <w:outlineLvl w:val="0"/>
        <w:rPr>
          <w:b/>
          <w:sz w:val="22"/>
        </w:rPr>
      </w:pPr>
      <w:r>
        <w:rPr>
          <w:b/>
          <w:sz w:val="22"/>
        </w:rPr>
        <w:t>Finalités générales</w:t>
      </w:r>
    </w:p>
    <w:p>
      <w:pPr>
        <w:ind w:left="425"/>
        <w:outlineLvl w:val="0"/>
        <w:rPr>
          <w:b/>
          <w:sz w:val="22"/>
        </w:rPr>
      </w:pPr>
    </w:p>
    <w:p>
      <w:pPr>
        <w:pStyle w:val="Retraitcorpsdetexte3"/>
      </w:pPr>
      <w:r>
        <w:t>Conformément à l’article 7 du décret de la Communauté française du 16 avril 1991 organisant l'enseignement de promotion sociale, cette unité de formation doit :</w:t>
      </w:r>
    </w:p>
    <w:p>
      <w:pPr>
        <w:numPr>
          <w:ilvl w:val="0"/>
          <w:numId w:val="1"/>
        </w:numPr>
        <w:spacing w:after="120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 ;</w:t>
      </w:r>
    </w:p>
    <w:p>
      <w:pPr>
        <w:numPr>
          <w:ilvl w:val="0"/>
          <w:numId w:val="1"/>
        </w:numPr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</w:rPr>
      </w:pPr>
    </w:p>
    <w:p>
      <w:pPr>
        <w:ind w:left="851" w:hanging="426"/>
        <w:outlineLvl w:val="0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rPr>
          <w:sz w:val="22"/>
        </w:rPr>
      </w:pPr>
    </w:p>
    <w:p>
      <w:pPr>
        <w:pStyle w:val="Titre1"/>
        <w:widowControl/>
        <w:spacing w:after="120"/>
        <w:jc w:val="left"/>
        <w:rPr>
          <w:sz w:val="22"/>
        </w:rPr>
      </w:pPr>
      <w:r>
        <w:rPr>
          <w:sz w:val="22"/>
        </w:rPr>
        <w:t>L’unité d’enseignement vise à permettre à l’étudiant :</w:t>
      </w:r>
    </w:p>
    <w:p>
      <w:pPr>
        <w:numPr>
          <w:ilvl w:val="0"/>
          <w:numId w:val="1"/>
        </w:numPr>
        <w:spacing w:after="120"/>
        <w:ind w:left="1135" w:hanging="284"/>
        <w:rPr>
          <w:sz w:val="22"/>
        </w:rPr>
      </w:pPr>
      <w:r>
        <w:rPr>
          <w:sz w:val="22"/>
        </w:rPr>
        <w:t>de s’approprier des connaissances générales en droit civil ;</w:t>
      </w:r>
    </w:p>
    <w:p>
      <w:pPr>
        <w:numPr>
          <w:ilvl w:val="0"/>
          <w:numId w:val="1"/>
        </w:numPr>
        <w:spacing w:after="120"/>
        <w:ind w:left="1135" w:hanging="284"/>
        <w:rPr>
          <w:sz w:val="22"/>
        </w:rPr>
      </w:pPr>
      <w:r>
        <w:rPr>
          <w:sz w:val="22"/>
        </w:rPr>
        <w:t>d’analyser et de résoudre des situations juridiques simples relevant du droit civil ;</w:t>
      </w:r>
    </w:p>
    <w:p>
      <w:pPr>
        <w:numPr>
          <w:ilvl w:val="0"/>
          <w:numId w:val="1"/>
        </w:numPr>
        <w:spacing w:after="120"/>
        <w:ind w:left="1135" w:hanging="284"/>
        <w:rPr>
          <w:sz w:val="22"/>
        </w:rPr>
      </w:pPr>
      <w:r>
        <w:rPr>
          <w:sz w:val="22"/>
        </w:rPr>
        <w:t>d’actualiser et de vérifier ses connaissances juridiques ;</w:t>
      </w:r>
    </w:p>
    <w:p>
      <w:pPr>
        <w:numPr>
          <w:ilvl w:val="0"/>
          <w:numId w:val="1"/>
        </w:numPr>
        <w:rPr>
          <w:sz w:val="22"/>
        </w:rPr>
      </w:pPr>
      <w:r>
        <w:rPr>
          <w:sz w:val="22"/>
        </w:rPr>
        <w:t>de porter un regard critique sur les fondements de la législation civile.</w:t>
      </w:r>
    </w:p>
    <w:p>
      <w:pPr>
        <w:rPr>
          <w:sz w:val="22"/>
        </w:rPr>
      </w:pPr>
    </w:p>
    <w:p>
      <w:pPr>
        <w:rPr>
          <w:sz w:val="22"/>
        </w:rPr>
      </w:pPr>
    </w:p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rPr>
          <w:sz w:val="22"/>
        </w:rPr>
      </w:pPr>
    </w:p>
    <w:p>
      <w:pPr>
        <w:ind w:left="851" w:hanging="426"/>
        <w:outlineLvl w:val="0"/>
        <w:rPr>
          <w:b/>
          <w:sz w:val="22"/>
        </w:rPr>
      </w:pPr>
      <w:r>
        <w:rPr>
          <w:b/>
          <w:sz w:val="22"/>
        </w:rPr>
        <w:t>2.1.</w:t>
      </w:r>
      <w:r>
        <w:rPr>
          <w:b/>
          <w:sz w:val="22"/>
        </w:rPr>
        <w:tab/>
        <w:t>Capacités</w:t>
      </w:r>
    </w:p>
    <w:p>
      <w:pPr>
        <w:rPr>
          <w:sz w:val="22"/>
        </w:rPr>
      </w:pPr>
    </w:p>
    <w:p>
      <w:pPr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résumer les idées essentielles d’un texte d’intérêt général et les critiquer ;</w:t>
      </w:r>
    </w:p>
    <w:p>
      <w:pPr>
        <w:numPr>
          <w:ilvl w:val="0"/>
          <w:numId w:val="1"/>
        </w:numPr>
        <w:rPr>
          <w:sz w:val="22"/>
        </w:rPr>
      </w:pPr>
      <w:r>
        <w:rPr>
          <w:sz w:val="22"/>
        </w:rPr>
        <w:t>produire un message structuré qui exprime un avis, une prise de position devant un fait, un événement,... (des documents d’information pouvant être mis à sa disposition).</w:t>
      </w:r>
    </w:p>
    <w:p>
      <w:pPr>
        <w:rPr>
          <w:sz w:val="22"/>
        </w:rPr>
      </w:pPr>
    </w:p>
    <w:p>
      <w:pPr>
        <w:ind w:left="851" w:hanging="426"/>
        <w:outlineLvl w:val="0"/>
        <w:rPr>
          <w:b/>
          <w:sz w:val="22"/>
        </w:rPr>
      </w:pPr>
      <w:r>
        <w:rPr>
          <w:b/>
          <w:sz w:val="22"/>
        </w:rPr>
        <w:t>2.2.</w:t>
      </w:r>
      <w:r>
        <w:rPr>
          <w:b/>
          <w:sz w:val="22"/>
        </w:rPr>
        <w:tab/>
        <w:t>Titre pouvant en tenir lieu</w:t>
      </w:r>
    </w:p>
    <w:p>
      <w:pPr>
        <w:rPr>
          <w:sz w:val="22"/>
        </w:rPr>
      </w:pPr>
    </w:p>
    <w:p>
      <w:pPr>
        <w:ind w:left="851"/>
        <w:outlineLvl w:val="0"/>
        <w:rPr>
          <w:sz w:val="22"/>
        </w:rPr>
      </w:pPr>
      <w:r>
        <w:rPr>
          <w:sz w:val="22"/>
        </w:rPr>
        <w:t>C.E.S.S.</w:t>
      </w:r>
    </w:p>
    <w:p>
      <w:pPr>
        <w:ind w:left="851"/>
        <w:rPr>
          <w:sz w:val="22"/>
        </w:rPr>
      </w:pPr>
    </w:p>
    <w:p>
      <w:pPr>
        <w:rPr>
          <w:b/>
          <w:sz w:val="22"/>
        </w:rPr>
      </w:pPr>
      <w:r>
        <w:rPr>
          <w:b/>
          <w:sz w:val="22"/>
        </w:rPr>
        <w:br w:type="page"/>
      </w:r>
    </w:p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lastRenderedPageBreak/>
        <w:t>ACQUIS D'APPRENTISSAGE</w:t>
      </w:r>
    </w:p>
    <w:p>
      <w:pPr>
        <w:numPr>
          <w:ilvl w:val="12"/>
          <w:numId w:val="0"/>
        </w:numPr>
        <w:ind w:left="283" w:hanging="283"/>
        <w:rPr>
          <w:b/>
          <w:sz w:val="22"/>
        </w:rPr>
      </w:pPr>
    </w:p>
    <w:p>
      <w:pPr>
        <w:pStyle w:val="Titre1"/>
        <w:widowControl/>
        <w:numPr>
          <w:ilvl w:val="12"/>
          <w:numId w:val="0"/>
        </w:numPr>
        <w:spacing w:after="120"/>
        <w:ind w:left="425"/>
        <w:jc w:val="left"/>
        <w:rPr>
          <w:b/>
          <w:sz w:val="22"/>
        </w:rPr>
      </w:pPr>
      <w:r>
        <w:rPr>
          <w:b/>
          <w:sz w:val="22"/>
        </w:rPr>
        <w:t>Pour atteindre le seuil de réussite, l’étudiant devra prouver qu’il est capable,</w:t>
      </w:r>
    </w:p>
    <w:p>
      <w:pPr>
        <w:pStyle w:val="Retraitcorpsdetexte2"/>
        <w:spacing w:after="120"/>
        <w:ind w:left="425"/>
      </w:pPr>
      <w:r>
        <w:t>face à des situations juridiques simples, concernant les personnes, les biens, les contrats et les obligations :</w:t>
      </w:r>
    </w:p>
    <w:p>
      <w:pPr>
        <w:numPr>
          <w:ilvl w:val="0"/>
          <w:numId w:val="1"/>
        </w:numPr>
        <w:spacing w:after="120"/>
        <w:ind w:left="709" w:hanging="284"/>
        <w:rPr>
          <w:sz w:val="22"/>
        </w:rPr>
      </w:pPr>
      <w:r>
        <w:rPr>
          <w:sz w:val="22"/>
        </w:rPr>
        <w:t>d’analyser et d’abstraire la situation juridique correspondante par le recours aux règles de droit civil la régissant et en utilisant le vocabulaire adéquat ;</w:t>
      </w:r>
    </w:p>
    <w:p>
      <w:pPr>
        <w:numPr>
          <w:ilvl w:val="0"/>
          <w:numId w:val="1"/>
        </w:numPr>
        <w:spacing w:after="120"/>
        <w:ind w:left="709" w:hanging="284"/>
        <w:rPr>
          <w:sz w:val="22"/>
        </w:rPr>
      </w:pPr>
      <w:r>
        <w:rPr>
          <w:sz w:val="22"/>
        </w:rPr>
        <w:t>de les résoudre par l’application des notions de droit civil qui les régissent.</w:t>
      </w:r>
    </w:p>
    <w:p>
      <w:pPr>
        <w:numPr>
          <w:ilvl w:val="12"/>
          <w:numId w:val="0"/>
        </w:numPr>
        <w:ind w:left="284"/>
        <w:rPr>
          <w:sz w:val="22"/>
        </w:rPr>
      </w:pPr>
    </w:p>
    <w:p>
      <w:pPr>
        <w:numPr>
          <w:ilvl w:val="12"/>
          <w:numId w:val="0"/>
        </w:numPr>
        <w:spacing w:after="120"/>
        <w:ind w:left="426"/>
        <w:outlineLvl w:val="0"/>
        <w:rPr>
          <w:b/>
          <w:sz w:val="22"/>
        </w:rPr>
      </w:pPr>
      <w:r>
        <w:rPr>
          <w:b/>
          <w:sz w:val="22"/>
        </w:rPr>
        <w:t xml:space="preserve">Pour la détermination du degré de maîtrise, </w:t>
      </w:r>
      <w:r>
        <w:rPr>
          <w:sz w:val="22"/>
        </w:rPr>
        <w:t>il sera tenu compte :</w:t>
      </w:r>
    </w:p>
    <w:p>
      <w:pPr>
        <w:numPr>
          <w:ilvl w:val="0"/>
          <w:numId w:val="1"/>
        </w:numPr>
        <w:spacing w:after="120"/>
        <w:ind w:left="1274"/>
        <w:rPr>
          <w:sz w:val="22"/>
        </w:rPr>
      </w:pPr>
      <w:r>
        <w:rPr>
          <w:sz w:val="22"/>
        </w:rPr>
        <w:t xml:space="preserve">du degré de pertinence de l’analyse, </w:t>
      </w:r>
    </w:p>
    <w:p>
      <w:pPr>
        <w:numPr>
          <w:ilvl w:val="0"/>
          <w:numId w:val="1"/>
        </w:numPr>
        <w:spacing w:after="120"/>
        <w:ind w:left="1274"/>
        <w:rPr>
          <w:sz w:val="22"/>
        </w:rPr>
      </w:pPr>
      <w:r>
        <w:rPr>
          <w:sz w:val="22"/>
        </w:rPr>
        <w:t>du niveau de précision et de la clarté dans l’emploi des termes juridiques.</w:t>
      </w:r>
    </w:p>
    <w:p>
      <w:pPr>
        <w:ind w:firstLine="142"/>
        <w:rPr>
          <w:b/>
          <w:sz w:val="22"/>
        </w:rPr>
      </w:pPr>
    </w:p>
    <w:p>
      <w:pPr>
        <w:rPr>
          <w:b/>
          <w:sz w:val="22"/>
        </w:rPr>
      </w:pPr>
    </w:p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t>PROGRAMME</w:t>
      </w:r>
    </w:p>
    <w:p>
      <w:pPr>
        <w:rPr>
          <w:sz w:val="22"/>
        </w:rPr>
      </w:pPr>
    </w:p>
    <w:p>
      <w:pPr>
        <w:pStyle w:val="Retraitcorpsdetexte"/>
      </w:pPr>
      <w:r>
        <w:t>Face à des situations juridiques simples, concernant les personnes, les biens, les contrats et les obligations, </w:t>
      </w:r>
    </w:p>
    <w:p>
      <w:pPr>
        <w:pStyle w:val="Retraitcorpsdetexte"/>
      </w:pPr>
      <w:r>
        <w:t>Dans le respect de la terminologie juridique,</w:t>
      </w:r>
    </w:p>
    <w:p>
      <w:pPr>
        <w:ind w:left="426"/>
        <w:rPr>
          <w:sz w:val="22"/>
        </w:rPr>
      </w:pPr>
    </w:p>
    <w:p>
      <w:pPr>
        <w:spacing w:after="120"/>
        <w:ind w:left="426"/>
        <w:rPr>
          <w:sz w:val="22"/>
        </w:rPr>
      </w:pPr>
      <w:r>
        <w:rPr>
          <w:sz w:val="22"/>
        </w:rPr>
        <w:t>l’étudiant sera capable :</w:t>
      </w:r>
    </w:p>
    <w:p>
      <w:pPr>
        <w:numPr>
          <w:ilvl w:val="0"/>
          <w:numId w:val="15"/>
        </w:numPr>
        <w:tabs>
          <w:tab w:val="clear" w:pos="360"/>
        </w:tabs>
        <w:spacing w:after="120"/>
        <w:ind w:left="709"/>
        <w:jc w:val="both"/>
        <w:rPr>
          <w:strike/>
          <w:sz w:val="22"/>
        </w:rPr>
      </w:pPr>
      <w:r>
        <w:rPr>
          <w:sz w:val="22"/>
        </w:rPr>
        <w:t>de s’approprier des concepts de base et des notions essentielles du droit commun :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définition de la notion de « droit »,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fondement des sources du droit et application de la hiérarchie des normes juridiques,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hiérarchisation des compétences des différents niveaux de pouvoir en Belgique (niveaux fédéral, communautaire, régional, provincial et communal),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caractéristiques et compétences des différentes juridictions de l’ordre judiciaire y compris les procédures y afférentes,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caractéristiques formelles des personnes physiques ou morales,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critères définissant les biens et leur classification,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droits réels (propriété, usufruit …),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droits extra-patrimoniaux de la personne physique (nom, domicile, nationalité, capacité …),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obligations naissant hors contrat : la responsabilité civile extra-conctractuelle,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sources et types d’obligations,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théorie générale des contrats : classification, conditions de validité, extinction … ;</w:t>
      </w:r>
    </w:p>
    <w:p>
      <w:pPr>
        <w:numPr>
          <w:ilvl w:val="0"/>
          <w:numId w:val="15"/>
        </w:numPr>
        <w:tabs>
          <w:tab w:val="clear" w:pos="360"/>
        </w:tabs>
        <w:spacing w:after="120"/>
        <w:ind w:left="709"/>
        <w:jc w:val="both"/>
        <w:rPr>
          <w:sz w:val="22"/>
        </w:rPr>
      </w:pPr>
      <w:r>
        <w:rPr>
          <w:sz w:val="22"/>
        </w:rPr>
        <w:t>d’appliquer ces notions et concepts à des cas concrets en les analysant et les résolvant.</w:t>
      </w:r>
    </w:p>
    <w:p>
      <w:pPr>
        <w:numPr>
          <w:ilvl w:val="12"/>
          <w:numId w:val="0"/>
        </w:numPr>
        <w:rPr>
          <w:b/>
          <w:strike/>
          <w:sz w:val="22"/>
        </w:rPr>
      </w:pPr>
    </w:p>
    <w:p>
      <w:pPr>
        <w:numPr>
          <w:ilvl w:val="12"/>
          <w:numId w:val="0"/>
        </w:numPr>
        <w:rPr>
          <w:b/>
          <w:sz w:val="22"/>
        </w:rPr>
      </w:pPr>
    </w:p>
    <w:p>
      <w:pPr>
        <w:ind w:left="426"/>
        <w:rPr>
          <w:sz w:val="22"/>
        </w:rPr>
      </w:pPr>
    </w:p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t>CHARGE(S) DE COURS</w:t>
      </w:r>
    </w:p>
    <w:p>
      <w:pPr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426"/>
        <w:jc w:val="both"/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lastRenderedPageBreak/>
        <w:t>L’expert devra justifier de compétences particulières issues d’une expérience professionnelle actualisée en relation avec le programme du présent dossier pédagogique.</w:t>
      </w:r>
    </w:p>
    <w:p>
      <w:pPr>
        <w:ind w:left="426"/>
        <w:rPr>
          <w:sz w:val="22"/>
        </w:rPr>
      </w:pPr>
    </w:p>
    <w:p>
      <w:pPr>
        <w:ind w:left="426"/>
        <w:rPr>
          <w:sz w:val="22"/>
        </w:rPr>
      </w:pPr>
    </w:p>
    <w:p>
      <w:pPr>
        <w:ind w:left="426"/>
        <w:rPr>
          <w:sz w:val="22"/>
        </w:rPr>
      </w:pPr>
    </w:p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t>CONSTITUTION DES GROUPES OU REGROUPEMENT</w:t>
      </w:r>
    </w:p>
    <w:p>
      <w:pPr>
        <w:rPr>
          <w:b/>
          <w:sz w:val="22"/>
        </w:rPr>
      </w:pPr>
    </w:p>
    <w:p>
      <w:pPr>
        <w:ind w:left="426"/>
        <w:outlineLvl w:val="0"/>
        <w:rPr>
          <w:sz w:val="22"/>
        </w:rPr>
      </w:pPr>
      <w:r>
        <w:rPr>
          <w:sz w:val="22"/>
        </w:rPr>
        <w:t>Aucune recommandation particulière.</w:t>
      </w:r>
    </w:p>
    <w:p>
      <w:pPr>
        <w:ind w:left="426"/>
        <w:outlineLvl w:val="0"/>
        <w:rPr>
          <w:sz w:val="22"/>
        </w:rPr>
      </w:pPr>
    </w:p>
    <w:p>
      <w:pPr>
        <w:ind w:left="426"/>
        <w:outlineLvl w:val="0"/>
        <w:rPr>
          <w:sz w:val="22"/>
        </w:rPr>
      </w:pPr>
    </w:p>
    <w:p>
      <w:pPr>
        <w:ind w:left="426"/>
        <w:outlineLvl w:val="0"/>
        <w:rPr>
          <w:sz w:val="22"/>
        </w:rPr>
      </w:pPr>
    </w:p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ind w:left="708" w:hanging="708"/>
        <w:rPr>
          <w:sz w:val="22"/>
        </w:rPr>
      </w:pPr>
    </w:p>
    <w:tbl>
      <w:tblPr>
        <w:tblW w:w="0" w:type="auto"/>
        <w:tblInd w:w="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0"/>
        <w:gridCol w:w="1701"/>
        <w:gridCol w:w="1701"/>
        <w:gridCol w:w="1701"/>
      </w:tblGrid>
      <w:tr>
        <w:tc>
          <w:tcPr>
            <w:tcW w:w="4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</w:rPr>
            </w:pPr>
            <w:r>
              <w:rPr>
                <w:b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c>
          <w:tcPr>
            <w:tcW w:w="4040" w:type="dxa"/>
            <w:tcBorders>
              <w:top w:val="nil"/>
              <w:left w:val="single" w:sz="12" w:space="0" w:color="auto"/>
            </w:tcBorders>
          </w:tcPr>
          <w:p>
            <w:r>
              <w:t xml:space="preserve">Droit civil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center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center"/>
            </w:pPr>
            <w:r>
              <w:t>32</w:t>
            </w:r>
          </w:p>
        </w:tc>
      </w:tr>
      <w:tr>
        <w:tc>
          <w:tcPr>
            <w:tcW w:w="5741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</w:rPr>
            </w:pPr>
            <w:r>
              <w:rPr>
                <w:b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ind w:right="567"/>
              <w:jc w:val="center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ind w:right="567"/>
              <w:jc w:val="center"/>
            </w:pPr>
            <w:r>
              <w:t>8</w:t>
            </w:r>
          </w:p>
        </w:tc>
      </w:tr>
      <w:tr>
        <w:tc>
          <w:tcPr>
            <w:tcW w:w="57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ind w:right="709"/>
              <w:jc w:val="center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>
      <w:pPr>
        <w:ind w:firstLine="1"/>
        <w:rPr>
          <w:sz w:val="22"/>
        </w:rPr>
      </w:pPr>
    </w:p>
    <w:p>
      <w:pPr>
        <w:ind w:left="426"/>
        <w:outlineLvl w:val="0"/>
      </w:pPr>
    </w:p>
    <w:sectPr>
      <w:footerReference w:type="default" r:id="rId7"/>
      <w:type w:val="continuous"/>
      <w:pgSz w:w="11906" w:h="16838"/>
      <w:pgMar w:top="1417" w:right="1417" w:bottom="1417" w:left="1417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Droit civil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  <w:rPr>
        <w:lang w:val="fr-BE"/>
      </w:rPr>
    </w:pPr>
    <w:r>
      <w:rPr>
        <w:lang w:val="fr-BE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10350D"/>
    <w:multiLevelType w:val="singleLevel"/>
    <w:tmpl w:val="1D28DFEC"/>
    <w:lvl w:ilvl="0">
      <w:numFmt w:val="bullet"/>
      <w:lvlText w:val="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18"/>
      </w:rPr>
    </w:lvl>
  </w:abstractNum>
  <w:abstractNum w:abstractNumId="2" w15:restartNumberingAfterBreak="0">
    <w:nsid w:val="11505BF1"/>
    <w:multiLevelType w:val="singleLevel"/>
    <w:tmpl w:val="FA8C6C96"/>
    <w:lvl w:ilvl="0">
      <w:start w:val="1"/>
      <w:numFmt w:val="bullet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trike w:val="0"/>
        <w:sz w:val="22"/>
      </w:rPr>
    </w:lvl>
  </w:abstractNum>
  <w:abstractNum w:abstractNumId="3" w15:restartNumberingAfterBreak="0">
    <w:nsid w:val="338C508D"/>
    <w:multiLevelType w:val="singleLevel"/>
    <w:tmpl w:val="CD000F76"/>
    <w:lvl w:ilvl="0">
      <w:start w:val="1"/>
      <w:numFmt w:val="bullet"/>
      <w:lvlText w:val="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sz w:val="14"/>
      </w:rPr>
    </w:lvl>
  </w:abstractNum>
  <w:abstractNum w:abstractNumId="4" w15:restartNumberingAfterBreak="0">
    <w:nsid w:val="3BD1760C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36C539B"/>
    <w:multiLevelType w:val="multilevel"/>
    <w:tmpl w:val="6EECEE1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6" w15:restartNumberingAfterBreak="0">
    <w:nsid w:val="481B08B0"/>
    <w:multiLevelType w:val="singleLevel"/>
    <w:tmpl w:val="9CA63AA0"/>
    <w:lvl w:ilvl="0">
      <w:start w:val="1"/>
      <w:numFmt w:val="decimal"/>
      <w:lvlText w:val="%1. 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</w:rPr>
    </w:lvl>
  </w:abstractNum>
  <w:abstractNum w:abstractNumId="7" w15:restartNumberingAfterBreak="0">
    <w:nsid w:val="55643083"/>
    <w:multiLevelType w:val="singleLevel"/>
    <w:tmpl w:val="1D28DFEC"/>
    <w:lvl w:ilvl="0">
      <w:numFmt w:val="bullet"/>
      <w:lvlText w:val="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18"/>
      </w:rPr>
    </w:lvl>
  </w:abstractNum>
  <w:abstractNum w:abstractNumId="8" w15:restartNumberingAfterBreak="0">
    <w:nsid w:val="56C751E5"/>
    <w:multiLevelType w:val="singleLevel"/>
    <w:tmpl w:val="D59EB43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9" w15:restartNumberingAfterBreak="0">
    <w:nsid w:val="621B62E2"/>
    <w:multiLevelType w:val="singleLevel"/>
    <w:tmpl w:val="1D28DFEC"/>
    <w:lvl w:ilvl="0">
      <w:numFmt w:val="bullet"/>
      <w:lvlText w:val="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649F7336"/>
    <w:multiLevelType w:val="singleLevel"/>
    <w:tmpl w:val="1D28DFEC"/>
    <w:lvl w:ilvl="0">
      <w:numFmt w:val="bullet"/>
      <w:lvlText w:val="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18"/>
      </w:rPr>
    </w:lvl>
  </w:abstractNum>
  <w:abstractNum w:abstractNumId="11" w15:restartNumberingAfterBreak="0">
    <w:nsid w:val="69D67F42"/>
    <w:multiLevelType w:val="singleLevel"/>
    <w:tmpl w:val="D59EB43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2" w15:restartNumberingAfterBreak="0">
    <w:nsid w:val="6BF576FC"/>
    <w:multiLevelType w:val="singleLevel"/>
    <w:tmpl w:val="1D28DFEC"/>
    <w:lvl w:ilvl="0">
      <w:numFmt w:val="bullet"/>
      <w:lvlText w:val=""/>
      <w:lvlJc w:val="left"/>
      <w:pPr>
        <w:tabs>
          <w:tab w:val="num" w:pos="208"/>
        </w:tabs>
        <w:ind w:left="928" w:hanging="360"/>
      </w:pPr>
      <w:rPr>
        <w:rFonts w:ascii="Symbol" w:hAnsi="Symbol" w:hint="default"/>
        <w:sz w:val="18"/>
      </w:rPr>
    </w:lvl>
  </w:abstractNum>
  <w:abstractNum w:abstractNumId="13" w15:restartNumberingAfterBreak="0">
    <w:nsid w:val="7776446A"/>
    <w:multiLevelType w:val="singleLevel"/>
    <w:tmpl w:val="D59EB43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4" w15:restartNumberingAfterBreak="0">
    <w:nsid w:val="7D0F7154"/>
    <w:multiLevelType w:val="singleLevel"/>
    <w:tmpl w:val="B2F4CAB4"/>
    <w:lvl w:ilvl="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  <w:sz w:val="18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  <w:sz w:val="18"/>
        </w:rPr>
      </w:lvl>
    </w:lvlOverride>
  </w:num>
  <w:num w:numId="3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276" w:hanging="283"/>
        </w:pPr>
        <w:rPr>
          <w:rFonts w:ascii="Symbol" w:hAnsi="Symbol" w:hint="default"/>
          <w:sz w:val="14"/>
        </w:rPr>
      </w:lvl>
    </w:lvlOverride>
  </w:num>
  <w:num w:numId="4">
    <w:abstractNumId w:val="6"/>
  </w:num>
  <w:num w:numId="5">
    <w:abstractNumId w:val="11"/>
  </w:num>
  <w:num w:numId="6">
    <w:abstractNumId w:val="8"/>
  </w:num>
  <w:num w:numId="7">
    <w:abstractNumId w:val="13"/>
  </w:num>
  <w:num w:numId="8">
    <w:abstractNumId w:val="10"/>
  </w:num>
  <w:num w:numId="9">
    <w:abstractNumId w:val="4"/>
  </w:num>
  <w:num w:numId="10">
    <w:abstractNumId w:val="1"/>
  </w:num>
  <w:num w:numId="11">
    <w:abstractNumId w:val="12"/>
  </w:num>
  <w:num w:numId="12">
    <w:abstractNumId w:val="14"/>
  </w:num>
  <w:num w:numId="13">
    <w:abstractNumId w:val="9"/>
  </w:num>
  <w:num w:numId="14">
    <w:abstractNumId w:val="7"/>
  </w:num>
  <w:num w:numId="15">
    <w:abstractNumId w:val="2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59DCDA49-B88D-48A2-8F24-68C46448F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widowControl w:val="0"/>
      <w:ind w:left="851"/>
      <w:jc w:val="both"/>
      <w:outlineLvl w:val="0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pPr>
      <w:widowControl w:val="0"/>
    </w:pPr>
    <w:rPr>
      <w:rFonts w:ascii="MS Serif" w:hAnsi="MS Serif"/>
      <w:noProof/>
      <w:snapToGrid w:val="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traitcorpsdetexte">
    <w:name w:val="Body Text Indent"/>
    <w:basedOn w:val="Normal"/>
    <w:pPr>
      <w:ind w:left="426"/>
      <w:jc w:val="both"/>
    </w:pPr>
    <w:rPr>
      <w:i/>
      <w:sz w:val="22"/>
    </w:rPr>
  </w:style>
  <w:style w:type="paragraph" w:styleId="Retraitcorpsdetexte2">
    <w:name w:val="Body Text Indent 2"/>
    <w:basedOn w:val="Normal"/>
    <w:pPr>
      <w:numPr>
        <w:ilvl w:val="12"/>
      </w:numPr>
      <w:ind w:left="426"/>
    </w:pPr>
    <w:rPr>
      <w:i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3">
    <w:name w:val="Body Text Indent 3"/>
    <w:basedOn w:val="Normal"/>
    <w:pPr>
      <w:spacing w:after="120"/>
      <w:ind w:left="851"/>
    </w:pPr>
    <w:rPr>
      <w:sz w:val="22"/>
    </w:rPr>
  </w:style>
  <w:style w:type="paragraph" w:styleId="Textedebulles">
    <w:name w:val="Balloon Text"/>
    <w:basedOn w:val="Normal"/>
    <w:link w:val="TextedebullesCar"/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rPr>
      <w:rFonts w:ascii="Segoe UI" w:hAnsi="Segoe UI" w:cs="Segoe UI"/>
      <w:sz w:val="18"/>
      <w:szCs w:val="18"/>
      <w:lang w:val="fr-FR" w:eastAsia="fr-FR"/>
    </w:rPr>
  </w:style>
  <w:style w:type="character" w:customStyle="1" w:styleId="PieddepageCar">
    <w:name w:val="Pied de page Car"/>
    <w:link w:val="Pieddepage"/>
    <w:uiPriority w:val="99"/>
    <w:locked/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9" ma:contentTypeDescription="Create a new document." ma:contentTypeScope="" ma:versionID="f7fcc5a39c7b183b4c80eba1092540c3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e0d05506e4a4454a5961c1615adec4a3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847A98-5039-4DBE-A47D-EE53F64841B4}"/>
</file>

<file path=customXml/itemProps2.xml><?xml version="1.0" encoding="utf-8"?>
<ds:datastoreItem xmlns:ds="http://schemas.openxmlformats.org/officeDocument/2006/customXml" ds:itemID="{75FD6457-F257-4766-8462-ADF7E13D7C02}"/>
</file>

<file path=customXml/itemProps3.xml><?xml version="1.0" encoding="utf-8"?>
<ds:datastoreItem xmlns:ds="http://schemas.openxmlformats.org/officeDocument/2006/customXml" ds:itemID="{310EA60A-2CE7-4085-A2CA-254A651212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637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EPS</Company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Nicole LOGNARD</dc:creator>
  <cp:lastModifiedBy>goulet02</cp:lastModifiedBy>
  <cp:revision>4</cp:revision>
  <cp:lastPrinted>2017-01-09T12:51:00Z</cp:lastPrinted>
  <dcterms:created xsi:type="dcterms:W3CDTF">2017-05-10T15:08:00Z</dcterms:created>
  <dcterms:modified xsi:type="dcterms:W3CDTF">2018-10-18T08:04:00Z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