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  <w:t>MINISTERE DE LA COMMUNAUTE FRANCAISE</w:t>
      </w: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 w:cs="Times New Roman"/>
          <w:noProof w:val="0"/>
          <w:sz w:val="22"/>
          <w:szCs w:val="22"/>
          <w:lang w:val="fr-FR"/>
        </w:rPr>
      </w:pP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  <w:t>ENSEIGNEMENT DE PROMOTION SOCIALE</w:t>
      </w:r>
    </w:p>
    <w:p/>
    <w:p/>
    <w:p/>
    <w:p/>
    <w:p/>
    <w:p/>
    <w:p/>
    <w:p/>
    <w:p/>
    <w:p/>
    <w:p/>
    <w:p/>
    <w:p/>
    <w:p/>
    <w:p/>
    <w:p/>
    <w:p/>
    <w:p/>
    <w:p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</w:p>
    <w:p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  <w:t>DOSSIER PEDAGOGIQUE</w:t>
      </w:r>
    </w:p>
    <w:p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</w:p>
    <w:p/>
    <w:p/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UNITE D’ENSEIGNEMENT</w:t>
      </w:r>
    </w:p>
    <w:p>
      <w:pPr>
        <w:jc w:val="center"/>
        <w:rPr>
          <w:sz w:val="22"/>
          <w:szCs w:val="22"/>
        </w:rPr>
      </w:pPr>
    </w:p>
    <w:p>
      <w:pPr>
        <w:jc w:val="center"/>
        <w:rPr>
          <w:sz w:val="22"/>
          <w:szCs w:val="22"/>
        </w:rPr>
      </w:pPr>
    </w:p>
    <w:p>
      <w:pPr>
        <w:jc w:val="center"/>
        <w:rPr>
          <w:sz w:val="22"/>
          <w:szCs w:val="22"/>
        </w:rPr>
      </w:pPr>
    </w:p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ELEMENTS DE STATISTIQUE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pStyle w:val="Texte"/>
        <w:jc w:val="center"/>
        <w:rPr>
          <w:rFonts w:ascii="Times New Roman" w:hAnsi="Times New Roman"/>
          <w:b/>
          <w:bCs/>
          <w:noProof w:val="0"/>
          <w:sz w:val="22"/>
          <w:szCs w:val="22"/>
        </w:rPr>
      </w:pPr>
      <w:r>
        <w:rPr>
          <w:rFonts w:ascii="Times New Roman" w:hAnsi="Times New Roman"/>
          <w:b/>
          <w:bCs/>
          <w:noProof w:val="0"/>
          <w:sz w:val="22"/>
          <w:szCs w:val="22"/>
        </w:rPr>
        <w:t>ENSEIGNEMENT SUPERIEUR DE TYPE COURT</w:t>
      </w:r>
    </w:p>
    <w:p>
      <w:pPr>
        <w:jc w:val="center"/>
        <w:rPr>
          <w:smallCaps/>
        </w:rPr>
      </w:pPr>
      <w:r>
        <w:rPr>
          <w:smallCaps/>
        </w:rPr>
        <w:t>Domaine : Sciences économiques et de gestion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  <w:tcBorders>
              <w:top w:val="single" w:sz="6" w:space="0" w:color="auto"/>
              <w:bottom w:val="nil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>CODE : 013203U32D2</w:t>
            </w:r>
          </w:p>
        </w:tc>
      </w:tr>
      <w:tr>
        <w:tc>
          <w:tcPr>
            <w:tcW w:w="5529" w:type="dxa"/>
            <w:tcBorders>
              <w:top w:val="nil"/>
              <w:bottom w:val="nil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>CODE DU DOMAINE DE FORMATION : 002</w:t>
            </w:r>
          </w:p>
        </w:tc>
      </w:tr>
      <w:tr>
        <w:tc>
          <w:tcPr>
            <w:tcW w:w="5529" w:type="dxa"/>
            <w:tcBorders>
              <w:top w:val="nil"/>
              <w:bottom w:val="single" w:sz="6" w:space="0" w:color="auto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>DOCUMENT DE REFERENCE INTER-RESEAUX</w:t>
            </w:r>
          </w:p>
          <w:p>
            <w:pPr>
              <w:pStyle w:val="Texte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  <w:lang w:val="fr-FR"/>
              </w:rPr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b/>
          <w:bCs/>
        </w:rPr>
      </w:pPr>
      <w:r>
        <w:rPr>
          <w:b/>
          <w:bCs/>
        </w:rPr>
        <w:t>Approbation du Gouvernement de la Communauté française du 20 août 2018</w:t>
      </w:r>
      <w:bookmarkStart w:id="0" w:name="_GoBack"/>
      <w:bookmarkEnd w:id="0"/>
      <w:r>
        <w:rPr>
          <w:b/>
          <w:bCs/>
        </w:rPr>
        <w:t>,</w:t>
      </w:r>
    </w:p>
    <w:p>
      <w:pPr>
        <w:jc w:val="center"/>
        <w:rPr>
          <w:b/>
          <w:bCs/>
        </w:rPr>
      </w:pPr>
      <w:r>
        <w:rPr>
          <w:b/>
          <w:bCs/>
        </w:rPr>
        <w:t>sur avis conforme du Conseil général</w:t>
      </w:r>
    </w:p>
    <w:p>
      <w:pPr>
        <w:jc w:val="center"/>
        <w:rPr>
          <w:b/>
          <w:bCs/>
        </w:rPr>
      </w:pPr>
      <w:r>
        <w:rPr>
          <w:b/>
          <w:bCs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6" w:space="0" w:color="auto"/>
          <w:right w:val="single" w:sz="3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>
        <w:tc>
          <w:tcPr>
            <w:tcW w:w="9212" w:type="dxa"/>
            <w:tcBorders>
              <w:top w:val="single" w:sz="6" w:space="0" w:color="auto"/>
              <w:bottom w:val="single" w:sz="36" w:space="0" w:color="auto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br w:type="page"/>
            </w:r>
          </w:p>
          <w:p>
            <w:pPr>
              <w:pStyle w:val="Titre4"/>
            </w:pPr>
            <w:r>
              <w:t>ELEMENTS DE STATISTIQUE</w:t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  <w:p>
            <w:pPr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</w:rPr>
              <w:t>ENSEIGNEMENT SUPERIEUR DE TYPE COURT</w:t>
            </w:r>
          </w:p>
          <w:p>
            <w:pPr>
              <w:jc w:val="center"/>
              <w:rPr>
                <w:b/>
                <w:bCs/>
              </w:rPr>
            </w:pPr>
          </w:p>
        </w:tc>
      </w:tr>
    </w:tbl>
    <w:p/>
    <w:p/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</w:t>
      </w:r>
      <w:r>
        <w:rPr>
          <w:b/>
          <w:bCs/>
          <w:sz w:val="22"/>
          <w:szCs w:val="22"/>
        </w:rPr>
        <w:tab/>
        <w:t>FINALITES DE L’UNITE D’ENSEIGNEMENT</w:t>
      </w:r>
    </w:p>
    <w:p/>
    <w:p>
      <w:pPr>
        <w:ind w:left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1.1.</w:t>
      </w:r>
      <w:r>
        <w:rPr>
          <w:b/>
          <w:bCs/>
          <w:sz w:val="22"/>
          <w:szCs w:val="22"/>
        </w:rPr>
        <w:tab/>
        <w:t>Finalités générales</w:t>
      </w:r>
    </w:p>
    <w:p>
      <w:pPr>
        <w:rPr>
          <w:sz w:val="22"/>
          <w:szCs w:val="22"/>
        </w:rPr>
      </w:pPr>
    </w:p>
    <w:p>
      <w:pPr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Conformément à l’article 7 du décret de la Communauté française du 16 avril 1991 organisant l'enseignement de promotion sociale, cette unité d’enseignement doit :</w:t>
      </w:r>
    </w:p>
    <w:p>
      <w:pPr>
        <w:jc w:val="both"/>
        <w:rPr>
          <w:sz w:val="22"/>
          <w:szCs w:val="22"/>
        </w:rPr>
      </w:pPr>
    </w:p>
    <w:p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concourir à l’épanouissement individuel en promouvant une meilleure insertion professionnelle, sociale et culturelle;</w:t>
      </w:r>
    </w:p>
    <w:p>
      <w:pPr>
        <w:numPr>
          <w:ilvl w:val="12"/>
          <w:numId w:val="0"/>
        </w:numPr>
        <w:ind w:left="1134" w:hanging="283"/>
        <w:jc w:val="both"/>
        <w:rPr>
          <w:sz w:val="22"/>
          <w:szCs w:val="22"/>
        </w:rPr>
      </w:pPr>
    </w:p>
    <w:p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rPr>
          <w:sz w:val="22"/>
          <w:szCs w:val="22"/>
        </w:rPr>
      </w:pPr>
    </w:p>
    <w:p>
      <w:pPr>
        <w:ind w:left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1.2.</w:t>
      </w:r>
      <w:r>
        <w:rPr>
          <w:b/>
          <w:bCs/>
          <w:sz w:val="22"/>
          <w:szCs w:val="22"/>
        </w:rPr>
        <w:tab/>
        <w:t>Finalités particulières</w:t>
      </w:r>
    </w:p>
    <w:p>
      <w:pPr>
        <w:rPr>
          <w:sz w:val="22"/>
          <w:szCs w:val="22"/>
        </w:rPr>
      </w:pPr>
    </w:p>
    <w:p>
      <w:pPr>
        <w:pStyle w:val="Titre1"/>
        <w:widowControl/>
        <w:rPr>
          <w:sz w:val="22"/>
          <w:szCs w:val="22"/>
        </w:rPr>
      </w:pPr>
      <w:r>
        <w:rPr>
          <w:sz w:val="22"/>
          <w:szCs w:val="22"/>
        </w:rPr>
        <w:t>L’unité d’enseignement vise à permettre à l’étudiant :</w:t>
      </w:r>
    </w:p>
    <w:p>
      <w:pPr>
        <w:rPr>
          <w:sz w:val="22"/>
          <w:szCs w:val="22"/>
        </w:rPr>
      </w:pPr>
    </w:p>
    <w:p>
      <w:pPr>
        <w:numPr>
          <w:ilvl w:val="0"/>
          <w:numId w:val="4"/>
        </w:numPr>
        <w:tabs>
          <w:tab w:val="clear" w:pos="360"/>
          <w:tab w:val="num" w:pos="1276"/>
        </w:tabs>
        <w:ind w:left="1276" w:hanging="425"/>
        <w:rPr>
          <w:sz w:val="22"/>
          <w:szCs w:val="22"/>
        </w:rPr>
      </w:pPr>
      <w:r>
        <w:rPr>
          <w:sz w:val="22"/>
          <w:szCs w:val="22"/>
        </w:rPr>
        <w:t>de s’approprier des connaissances générales en statistique en vue de traiter des données économiques, financières, commerciales … ;</w:t>
      </w:r>
    </w:p>
    <w:p>
      <w:pPr>
        <w:numPr>
          <w:ilvl w:val="0"/>
          <w:numId w:val="4"/>
        </w:numPr>
        <w:tabs>
          <w:tab w:val="clear" w:pos="360"/>
          <w:tab w:val="num" w:pos="1276"/>
        </w:tabs>
        <w:ind w:left="1276" w:hanging="425"/>
        <w:rPr>
          <w:sz w:val="22"/>
          <w:szCs w:val="22"/>
        </w:rPr>
      </w:pPr>
      <w:r>
        <w:rPr>
          <w:sz w:val="22"/>
          <w:szCs w:val="22"/>
        </w:rPr>
        <w:t>de s’approprier le sens de documents statistiques usuels ;</w:t>
      </w:r>
    </w:p>
    <w:p>
      <w:pPr>
        <w:numPr>
          <w:ilvl w:val="0"/>
          <w:numId w:val="4"/>
        </w:numPr>
        <w:tabs>
          <w:tab w:val="clear" w:pos="360"/>
          <w:tab w:val="num" w:pos="1276"/>
        </w:tabs>
        <w:ind w:left="1276" w:hanging="425"/>
        <w:rPr>
          <w:sz w:val="22"/>
          <w:szCs w:val="22"/>
        </w:rPr>
      </w:pPr>
      <w:r>
        <w:rPr>
          <w:sz w:val="22"/>
          <w:szCs w:val="22"/>
        </w:rPr>
        <w:t>de développer son sens critique dans l’interprétation de données statistiques ;</w:t>
      </w:r>
    </w:p>
    <w:p>
      <w:pPr>
        <w:numPr>
          <w:ilvl w:val="0"/>
          <w:numId w:val="4"/>
        </w:numPr>
        <w:tabs>
          <w:tab w:val="clear" w:pos="360"/>
          <w:tab w:val="num" w:pos="1276"/>
        </w:tabs>
        <w:ind w:left="1276" w:hanging="425"/>
        <w:rPr>
          <w:sz w:val="22"/>
          <w:szCs w:val="22"/>
        </w:rPr>
      </w:pPr>
      <w:r>
        <w:rPr>
          <w:sz w:val="22"/>
          <w:szCs w:val="22"/>
        </w:rPr>
        <w:t xml:space="preserve">d’utiliser des ressources logicielles existantes permettant le traitement statistique de données. </w:t>
      </w: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</w:t>
      </w:r>
      <w:r>
        <w:rPr>
          <w:b/>
          <w:bCs/>
          <w:sz w:val="22"/>
          <w:szCs w:val="22"/>
        </w:rPr>
        <w:tab/>
        <w:t>CAPACITES PREALABLES REQUISES</w:t>
      </w:r>
    </w:p>
    <w:p>
      <w:pPr>
        <w:pStyle w:val="Titre3"/>
      </w:pPr>
      <w:r>
        <w:t>2.1.</w:t>
      </w:r>
      <w:r>
        <w:tab/>
        <w:t>Capacités</w:t>
      </w:r>
    </w:p>
    <w:p/>
    <w:p>
      <w:pPr>
        <w:ind w:left="567"/>
        <w:rPr>
          <w:i/>
        </w:rPr>
      </w:pPr>
      <w:r>
        <w:rPr>
          <w:i/>
        </w:rPr>
        <w:t>En français,</w:t>
      </w:r>
    </w:p>
    <w:p>
      <w:pPr>
        <w:numPr>
          <w:ilvl w:val="0"/>
          <w:numId w:val="16"/>
        </w:numPr>
        <w:spacing w:before="120"/>
        <w:ind w:left="1135" w:hanging="284"/>
        <w:jc w:val="both"/>
        <w:rPr>
          <w:sz w:val="22"/>
          <w:szCs w:val="22"/>
        </w:rPr>
      </w:pPr>
      <w:r>
        <w:rPr>
          <w:sz w:val="22"/>
          <w:szCs w:val="22"/>
        </w:rPr>
        <w:t>résumer les idées essentielles d’un texte d’intérêt général et les critiquer ;</w:t>
      </w:r>
    </w:p>
    <w:p>
      <w:pPr>
        <w:numPr>
          <w:ilvl w:val="0"/>
          <w:numId w:val="16"/>
        </w:numPr>
        <w:spacing w:before="120"/>
        <w:ind w:left="1135" w:hanging="284"/>
        <w:jc w:val="both"/>
        <w:rPr>
          <w:sz w:val="22"/>
          <w:szCs w:val="22"/>
        </w:rPr>
      </w:pPr>
      <w:r>
        <w:rPr>
          <w:sz w:val="22"/>
          <w:szCs w:val="22"/>
        </w:rPr>
        <w:t>produire un message structuré qui exprime un avis, une prise de position devant un fait, un événement, ... (des documents d’information pouvant être mis à sa disposition).</w:t>
      </w:r>
    </w:p>
    <w:p>
      <w:pPr>
        <w:ind w:left="850"/>
        <w:rPr>
          <w:i/>
        </w:rPr>
      </w:pPr>
    </w:p>
    <w:p>
      <w:pPr>
        <w:ind w:left="567"/>
        <w:rPr>
          <w:b/>
          <w:bCs/>
          <w:sz w:val="22"/>
          <w:szCs w:val="22"/>
        </w:rPr>
      </w:pPr>
      <w:r>
        <w:rPr>
          <w:i/>
        </w:rPr>
        <w:t xml:space="preserve">En mathématique, </w:t>
      </w:r>
    </w:p>
    <w:p>
      <w:pPr>
        <w:numPr>
          <w:ilvl w:val="0"/>
          <w:numId w:val="16"/>
        </w:numPr>
        <w:tabs>
          <w:tab w:val="num" w:pos="709"/>
        </w:tabs>
        <w:spacing w:before="120"/>
        <w:ind w:left="1135" w:hanging="284"/>
        <w:jc w:val="both"/>
        <w:rPr>
          <w:sz w:val="22"/>
          <w:szCs w:val="22"/>
        </w:rPr>
      </w:pPr>
      <w:r>
        <w:rPr>
          <w:sz w:val="22"/>
          <w:szCs w:val="22"/>
        </w:rPr>
        <w:t>traiter un problème en utilisant un tableau de nombres, un graphique ou une formule ;</w:t>
      </w:r>
    </w:p>
    <w:p>
      <w:pPr>
        <w:numPr>
          <w:ilvl w:val="0"/>
          <w:numId w:val="16"/>
        </w:numPr>
        <w:tabs>
          <w:tab w:val="num" w:pos="709"/>
        </w:tabs>
        <w:spacing w:before="120"/>
        <w:ind w:left="1135" w:hanging="284"/>
        <w:jc w:val="both"/>
        <w:rPr>
          <w:sz w:val="22"/>
          <w:szCs w:val="22"/>
        </w:rPr>
      </w:pPr>
      <w:r>
        <w:rPr>
          <w:sz w:val="22"/>
          <w:szCs w:val="22"/>
        </w:rPr>
        <w:t>calculer des valeurs caractéristiques d’un ensemble de données statistiques ;</w:t>
      </w:r>
    </w:p>
    <w:p>
      <w:pPr>
        <w:numPr>
          <w:ilvl w:val="0"/>
          <w:numId w:val="16"/>
        </w:numPr>
        <w:tabs>
          <w:tab w:val="num" w:pos="709"/>
        </w:tabs>
        <w:spacing w:before="120"/>
        <w:ind w:left="1135" w:hanging="284"/>
        <w:jc w:val="both"/>
        <w:rPr>
          <w:sz w:val="22"/>
          <w:szCs w:val="22"/>
        </w:rPr>
      </w:pPr>
      <w:r>
        <w:rPr>
          <w:sz w:val="22"/>
          <w:szCs w:val="22"/>
        </w:rPr>
        <w:t>interpréter et de critiquer la portée des informations graphiques et numériques.</w:t>
      </w:r>
    </w:p>
    <w:p>
      <w:pPr>
        <w:pStyle w:val="Titre3"/>
      </w:pPr>
      <w:r>
        <w:t>2.2.</w:t>
      </w:r>
      <w:r>
        <w:tab/>
        <w:t>Titre pouvant en tenir lieu</w:t>
      </w:r>
    </w:p>
    <w:p>
      <w:pPr>
        <w:rPr>
          <w:sz w:val="22"/>
          <w:szCs w:val="22"/>
        </w:rPr>
      </w:pPr>
    </w:p>
    <w:p>
      <w:pPr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C.E.S.S. </w:t>
      </w:r>
    </w:p>
    <w:p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3.</w:t>
      </w:r>
      <w:r>
        <w:rPr>
          <w:b/>
          <w:bCs/>
          <w:sz w:val="22"/>
          <w:szCs w:val="22"/>
        </w:rPr>
        <w:tab/>
        <w:t>ACQUIS D’APPRENTISSAGE</w:t>
      </w:r>
    </w:p>
    <w:p>
      <w:pPr>
        <w:rPr>
          <w:sz w:val="22"/>
          <w:szCs w:val="22"/>
        </w:rPr>
      </w:pPr>
    </w:p>
    <w:p>
      <w:pPr>
        <w:pStyle w:val="Corpsdetexte2"/>
        <w:rPr>
          <w:b/>
          <w:bCs/>
        </w:rPr>
      </w:pPr>
      <w:r>
        <w:rPr>
          <w:b/>
          <w:bCs/>
        </w:rPr>
        <w:t>Pour atteindre le seuil de réussite, l’étudiant devra prouver qu’il est capable,</w:t>
      </w:r>
    </w:p>
    <w:p>
      <w:pPr>
        <w:rPr>
          <w:i/>
          <w:iCs/>
          <w:sz w:val="22"/>
          <w:szCs w:val="22"/>
        </w:rPr>
      </w:pP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face à une situation issue de la vie professionnelle,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face à des données se prêtant au traitement statistique, 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en respectant les consignes de réalisation précisées : </w:t>
      </w:r>
    </w:p>
    <w:p>
      <w:pPr>
        <w:ind w:left="426"/>
        <w:rPr>
          <w:i/>
          <w:iCs/>
          <w:sz w:val="22"/>
          <w:szCs w:val="22"/>
        </w:rPr>
      </w:pPr>
    </w:p>
    <w:p>
      <w:pPr>
        <w:pStyle w:val="P1"/>
        <w:numPr>
          <w:ilvl w:val="0"/>
          <w:numId w:val="10"/>
        </w:numPr>
        <w:tabs>
          <w:tab w:val="clear" w:pos="360"/>
          <w:tab w:val="num" w:pos="709"/>
        </w:tabs>
        <w:spacing w:before="0" w:after="0"/>
        <w:ind w:left="709" w:hanging="284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d'expliciter les concepts et les techniques à appliquer en utilisant le vocabulaire d’une manière adéquate ;</w:t>
      </w:r>
    </w:p>
    <w:p>
      <w:pPr>
        <w:pStyle w:val="P1"/>
        <w:numPr>
          <w:ilvl w:val="0"/>
          <w:numId w:val="10"/>
        </w:numPr>
        <w:tabs>
          <w:tab w:val="clear" w:pos="360"/>
          <w:tab w:val="num" w:pos="709"/>
        </w:tabs>
        <w:spacing w:before="0" w:after="0"/>
        <w:ind w:left="709" w:hanging="284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d'appliquer les techniques, les démarches appropriées pour assurer le traitement des données ; </w:t>
      </w:r>
    </w:p>
    <w:p>
      <w:pPr>
        <w:pStyle w:val="P1"/>
        <w:numPr>
          <w:ilvl w:val="0"/>
          <w:numId w:val="10"/>
        </w:numPr>
        <w:tabs>
          <w:tab w:val="clear" w:pos="360"/>
          <w:tab w:val="num" w:pos="709"/>
        </w:tabs>
        <w:spacing w:before="0" w:after="0"/>
        <w:ind w:left="709" w:hanging="284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de présenter les résultats en utilisant les ressources du logiciel disponible (tableaux, graphiques, …) et de les interpréter. </w:t>
      </w:r>
    </w:p>
    <w:p>
      <w:pPr>
        <w:pStyle w:val="P1"/>
        <w:spacing w:before="0" w:after="0"/>
        <w:ind w:left="425"/>
        <w:rPr>
          <w:b w:val="0"/>
          <w:bCs w:val="0"/>
          <w:sz w:val="22"/>
          <w:szCs w:val="22"/>
        </w:rPr>
      </w:pPr>
    </w:p>
    <w:p>
      <w:pPr>
        <w:pStyle w:val="P1"/>
        <w:spacing w:before="0" w:after="0"/>
        <w:ind w:left="425"/>
        <w:rPr>
          <w:b w:val="0"/>
          <w:bCs w:val="0"/>
          <w:sz w:val="22"/>
          <w:szCs w:val="22"/>
        </w:rPr>
      </w:pPr>
    </w:p>
    <w:p>
      <w:pPr>
        <w:pStyle w:val="Corpsdetexte2"/>
        <w:rPr>
          <w:bCs/>
        </w:rPr>
      </w:pPr>
      <w:r>
        <w:rPr>
          <w:b/>
          <w:bCs/>
        </w:rPr>
        <w:t>Pour la détermination du degré de maîtrise</w:t>
      </w:r>
      <w:r>
        <w:rPr>
          <w:bCs/>
        </w:rPr>
        <w:t>, il sera tenu compte des critères suivants :</w:t>
      </w:r>
    </w:p>
    <w:p>
      <w:pPr>
        <w:pStyle w:val="Corpsdetexte2"/>
        <w:rPr>
          <w:bCs/>
        </w:rPr>
      </w:pPr>
    </w:p>
    <w:p>
      <w:pPr>
        <w:numPr>
          <w:ilvl w:val="0"/>
          <w:numId w:val="11"/>
        </w:numPr>
        <w:tabs>
          <w:tab w:val="clear" w:pos="360"/>
          <w:tab w:val="num" w:pos="1133"/>
        </w:tabs>
        <w:ind w:left="1133" w:hanging="283"/>
        <w:rPr>
          <w:sz w:val="22"/>
          <w:szCs w:val="22"/>
        </w:rPr>
      </w:pPr>
      <w:r>
        <w:rPr>
          <w:sz w:val="22"/>
          <w:szCs w:val="22"/>
        </w:rPr>
        <w:t xml:space="preserve">le degré de pertinence de la démarche développée ; </w:t>
      </w:r>
    </w:p>
    <w:p>
      <w:pPr>
        <w:numPr>
          <w:ilvl w:val="0"/>
          <w:numId w:val="11"/>
        </w:numPr>
        <w:tabs>
          <w:tab w:val="clear" w:pos="360"/>
          <w:tab w:val="num" w:pos="1133"/>
        </w:tabs>
        <w:ind w:left="1133" w:hanging="283"/>
        <w:rPr>
          <w:sz w:val="22"/>
          <w:szCs w:val="22"/>
        </w:rPr>
      </w:pPr>
      <w:r>
        <w:rPr>
          <w:sz w:val="22"/>
          <w:szCs w:val="22"/>
        </w:rPr>
        <w:t xml:space="preserve">la clarté et la précision dans l’utilisation du vocabulaire statistique ; </w:t>
      </w:r>
    </w:p>
    <w:p>
      <w:pPr>
        <w:numPr>
          <w:ilvl w:val="0"/>
          <w:numId w:val="11"/>
        </w:numPr>
        <w:tabs>
          <w:tab w:val="clear" w:pos="360"/>
          <w:tab w:val="num" w:pos="1133"/>
        </w:tabs>
        <w:ind w:left="1133" w:hanging="283"/>
        <w:rPr>
          <w:sz w:val="22"/>
          <w:szCs w:val="22"/>
        </w:rPr>
      </w:pPr>
      <w:r>
        <w:rPr>
          <w:sz w:val="22"/>
          <w:szCs w:val="22"/>
        </w:rPr>
        <w:t xml:space="preserve">le degré d’autonomie atteint. </w:t>
      </w:r>
    </w:p>
    <w:p>
      <w:pPr>
        <w:ind w:left="426"/>
        <w:rPr>
          <w:i/>
          <w:iCs/>
          <w:sz w:val="22"/>
          <w:szCs w:val="22"/>
        </w:rPr>
      </w:pPr>
    </w:p>
    <w:p>
      <w:pPr>
        <w:ind w:left="426"/>
        <w:rPr>
          <w:i/>
          <w:iCs/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</w:t>
      </w:r>
      <w:r>
        <w:rPr>
          <w:b/>
          <w:bCs/>
          <w:sz w:val="22"/>
          <w:szCs w:val="22"/>
        </w:rPr>
        <w:tab/>
        <w:t>PROGRAMME</w:t>
      </w:r>
    </w:p>
    <w:p>
      <w:pPr>
        <w:rPr>
          <w:i/>
          <w:iCs/>
          <w:sz w:val="24"/>
          <w:szCs w:val="24"/>
        </w:rPr>
      </w:pPr>
    </w:p>
    <w:p>
      <w:pPr>
        <w:ind w:left="426"/>
        <w:jc w:val="center"/>
        <w:rPr>
          <w:b/>
          <w:bCs/>
          <w:sz w:val="22"/>
          <w:szCs w:val="22"/>
        </w:rPr>
      </w:pPr>
    </w:p>
    <w:p>
      <w:pPr>
        <w:ind w:left="426"/>
        <w:rPr>
          <w:i/>
          <w:iCs/>
          <w:sz w:val="22"/>
          <w:szCs w:val="22"/>
        </w:rPr>
      </w:pPr>
      <w:r>
        <w:rPr>
          <w:bCs/>
          <w:sz w:val="22"/>
          <w:szCs w:val="22"/>
        </w:rPr>
        <w:t>L’étudiant sera capable,</w:t>
      </w:r>
    </w:p>
    <w:p>
      <w:pPr>
        <w:ind w:left="426"/>
        <w:rPr>
          <w:i/>
          <w:iCs/>
          <w:sz w:val="22"/>
          <w:szCs w:val="22"/>
        </w:rPr>
      </w:pP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face à des situations issues de la vie professionnelle,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face à des données se prêtant au traitement statistique, 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en respectant les consignes de réalisation précisées : </w:t>
      </w:r>
    </w:p>
    <w:p>
      <w:pPr>
        <w:pStyle w:val="Titre1"/>
        <w:jc w:val="center"/>
        <w:rPr>
          <w:b/>
          <w:bCs/>
        </w:rPr>
      </w:pPr>
    </w:p>
    <w:p>
      <w:pPr>
        <w:numPr>
          <w:ilvl w:val="0"/>
          <w:numId w:val="5"/>
        </w:numPr>
        <w:tabs>
          <w:tab w:val="clear" w:pos="360"/>
          <w:tab w:val="num" w:pos="709"/>
        </w:tabs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de s'approprier les concepts de base de la statistique et de la probabilité ;</w:t>
      </w:r>
    </w:p>
    <w:p>
      <w:pPr>
        <w:numPr>
          <w:ilvl w:val="0"/>
          <w:numId w:val="5"/>
        </w:numPr>
        <w:tabs>
          <w:tab w:val="clear" w:pos="360"/>
          <w:tab w:val="num" w:pos="709"/>
        </w:tabs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de mettre en œuvre une démarche de résolution de problèmes en utilisant les ressources :</w:t>
      </w:r>
    </w:p>
    <w:p>
      <w:pPr>
        <w:numPr>
          <w:ilvl w:val="0"/>
          <w:numId w:val="6"/>
        </w:numPr>
        <w:tabs>
          <w:tab w:val="clear" w:pos="360"/>
          <w:tab w:val="num" w:pos="993"/>
        </w:tabs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la statistique descriptive univariée :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Analyse du problème posé,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Traitement approprié d’un ensemble de données sous forme de tableaux,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Traitement approprié d’un ensemble de données sous forme de graphiques,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Résumé des données au moyen des mesures de position, des mesures de dispersion et des mesures de forme,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Interprétation des résultats obtenus,</w:t>
      </w:r>
    </w:p>
    <w:p>
      <w:pPr>
        <w:numPr>
          <w:ilvl w:val="0"/>
          <w:numId w:val="6"/>
        </w:numPr>
        <w:tabs>
          <w:tab w:val="clear" w:pos="360"/>
          <w:tab w:val="num" w:pos="993"/>
        </w:tabs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la statistique descriptive bivariée :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Représentation graphique (nuage de points et droite de régression),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Technique d’ajustement linéaire (méthode des moindres carrés et corrélation),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Interprétation des résultats obtenus et prédiction,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Elargissement à un ajustement non linéaire,</w:t>
      </w:r>
    </w:p>
    <w:p>
      <w:pPr>
        <w:numPr>
          <w:ilvl w:val="0"/>
          <w:numId w:val="6"/>
        </w:numPr>
        <w:tabs>
          <w:tab w:val="clear" w:pos="360"/>
          <w:tab w:val="num" w:pos="993"/>
        </w:tabs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la probabilité :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Calculs de probabilités simples,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Détermination de la loi de probabilité d’une variable aléatoire (+ espérance),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Identification des lois de probabilités usuelles (loi binomiale, loi de Poisson, loi normale, …),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Utilisation des tables de ces lois de probabilité ;</w:t>
      </w:r>
    </w:p>
    <w:p>
      <w:pPr>
        <w:pStyle w:val="Titre1"/>
        <w:ind w:hanging="425"/>
        <w:jc w:val="left"/>
        <w:rPr>
          <w:b/>
          <w:bCs/>
        </w:rPr>
      </w:pPr>
    </w:p>
    <w:p>
      <w:pPr>
        <w:pStyle w:val="Texte"/>
        <w:rPr>
          <w:rFonts w:ascii="Times New Roman" w:hAnsi="Times New Roman" w:cs="Times New Roman"/>
          <w:noProof w:val="0"/>
          <w:color w:val="7030A0"/>
          <w:lang w:val="fr-FR"/>
        </w:rPr>
      </w:pPr>
    </w:p>
    <w:p>
      <w:pPr>
        <w:tabs>
          <w:tab w:val="num" w:pos="1494"/>
        </w:tabs>
        <w:ind w:left="1494"/>
        <w:jc w:val="both"/>
        <w:rPr>
          <w:sz w:val="22"/>
          <w:szCs w:val="22"/>
        </w:rPr>
      </w:pPr>
    </w:p>
    <w:p>
      <w:pPr>
        <w:pStyle w:val="P3"/>
        <w:tabs>
          <w:tab w:val="clear" w:pos="360"/>
        </w:tabs>
        <w:ind w:left="851" w:hanging="42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 laboratoire de logiciel appliqué à la statistique :</w:t>
      </w:r>
    </w:p>
    <w:p>
      <w:pPr>
        <w:ind w:left="426"/>
        <w:rPr>
          <w:i/>
          <w:iCs/>
          <w:sz w:val="22"/>
          <w:szCs w:val="22"/>
        </w:rPr>
      </w:pP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face à des situations issues de la vie professionnelle,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face à des données se prêtant au traitement statistique, </w:t>
      </w:r>
    </w:p>
    <w:p>
      <w:pPr>
        <w:ind w:left="426"/>
        <w:rPr>
          <w:i/>
          <w:sz w:val="22"/>
        </w:rPr>
      </w:pPr>
      <w:r>
        <w:rPr>
          <w:i/>
          <w:sz w:val="22"/>
        </w:rPr>
        <w:t xml:space="preserve">en utilisant l'outil informatique, 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en respectant les consignes de réalisation précisées : </w:t>
      </w:r>
    </w:p>
    <w:p>
      <w:pPr>
        <w:ind w:left="426"/>
        <w:jc w:val="both"/>
        <w:rPr>
          <w:i/>
          <w:iCs/>
          <w:sz w:val="22"/>
          <w:szCs w:val="22"/>
        </w:rPr>
      </w:pPr>
    </w:p>
    <w:p>
      <w:pPr>
        <w:numPr>
          <w:ilvl w:val="0"/>
          <w:numId w:val="5"/>
        </w:numPr>
        <w:tabs>
          <w:tab w:val="clear" w:pos="360"/>
          <w:tab w:val="num" w:pos="1133"/>
        </w:tabs>
        <w:ind w:left="1133" w:hanging="283"/>
        <w:jc w:val="both"/>
        <w:rPr>
          <w:sz w:val="22"/>
          <w:szCs w:val="22"/>
        </w:rPr>
      </w:pPr>
      <w:r>
        <w:rPr>
          <w:sz w:val="22"/>
          <w:szCs w:val="22"/>
        </w:rPr>
        <w:t>en statistique descriptive univariée :</w:t>
      </w:r>
    </w:p>
    <w:p>
      <w:pPr>
        <w:numPr>
          <w:ilvl w:val="0"/>
          <w:numId w:val="6"/>
        </w:numPr>
        <w:tabs>
          <w:tab w:val="clear" w:pos="360"/>
          <w:tab w:val="num" w:pos="1559"/>
        </w:tabs>
        <w:ind w:left="1559" w:hanging="284"/>
        <w:jc w:val="both"/>
        <w:rPr>
          <w:sz w:val="22"/>
          <w:szCs w:val="22"/>
        </w:rPr>
      </w:pPr>
      <w:r>
        <w:rPr>
          <w:sz w:val="22"/>
          <w:szCs w:val="22"/>
        </w:rPr>
        <w:t>de réaliser le traitement des données ;</w:t>
      </w:r>
    </w:p>
    <w:p>
      <w:pPr>
        <w:numPr>
          <w:ilvl w:val="0"/>
          <w:numId w:val="6"/>
        </w:numPr>
        <w:tabs>
          <w:tab w:val="clear" w:pos="360"/>
          <w:tab w:val="num" w:pos="1559"/>
        </w:tabs>
        <w:ind w:left="1559" w:hanging="284"/>
        <w:jc w:val="both"/>
        <w:rPr>
          <w:sz w:val="22"/>
          <w:szCs w:val="22"/>
        </w:rPr>
      </w:pPr>
      <w:r>
        <w:rPr>
          <w:sz w:val="22"/>
          <w:szCs w:val="22"/>
        </w:rPr>
        <w:t>de les représenter graphiquement ;</w:t>
      </w:r>
    </w:p>
    <w:p>
      <w:pPr>
        <w:numPr>
          <w:ilvl w:val="0"/>
          <w:numId w:val="6"/>
        </w:numPr>
        <w:tabs>
          <w:tab w:val="clear" w:pos="360"/>
          <w:tab w:val="num" w:pos="1559"/>
        </w:tabs>
        <w:ind w:left="1559" w:hanging="284"/>
        <w:jc w:val="both"/>
        <w:rPr>
          <w:sz w:val="22"/>
          <w:szCs w:val="22"/>
        </w:rPr>
      </w:pPr>
      <w:r>
        <w:rPr>
          <w:sz w:val="22"/>
          <w:szCs w:val="22"/>
        </w:rPr>
        <w:t>de calculer les mesures de position, de dispersion et de forme ;</w:t>
      </w:r>
    </w:p>
    <w:p>
      <w:pPr>
        <w:ind w:left="1275"/>
        <w:jc w:val="both"/>
        <w:rPr>
          <w:sz w:val="22"/>
          <w:szCs w:val="22"/>
        </w:rPr>
      </w:pPr>
    </w:p>
    <w:p>
      <w:pPr>
        <w:numPr>
          <w:ilvl w:val="0"/>
          <w:numId w:val="5"/>
        </w:numPr>
        <w:tabs>
          <w:tab w:val="clear" w:pos="360"/>
          <w:tab w:val="num" w:pos="1133"/>
        </w:tabs>
        <w:ind w:left="1133" w:hanging="283"/>
        <w:jc w:val="both"/>
        <w:rPr>
          <w:sz w:val="22"/>
          <w:szCs w:val="22"/>
        </w:rPr>
      </w:pPr>
      <w:r>
        <w:rPr>
          <w:sz w:val="22"/>
          <w:szCs w:val="22"/>
        </w:rPr>
        <w:t>en statistique descriptive bivariée :</w:t>
      </w:r>
    </w:p>
    <w:p>
      <w:pPr>
        <w:numPr>
          <w:ilvl w:val="0"/>
          <w:numId w:val="6"/>
        </w:numPr>
        <w:tabs>
          <w:tab w:val="clear" w:pos="360"/>
          <w:tab w:val="num" w:pos="1559"/>
        </w:tabs>
        <w:ind w:left="1559" w:hanging="284"/>
        <w:jc w:val="both"/>
        <w:rPr>
          <w:sz w:val="22"/>
          <w:szCs w:val="22"/>
        </w:rPr>
      </w:pPr>
      <w:r>
        <w:rPr>
          <w:sz w:val="22"/>
          <w:szCs w:val="22"/>
        </w:rPr>
        <w:t>de représenter graphiquement le nuage de points et la droite de régression ;</w:t>
      </w:r>
    </w:p>
    <w:p>
      <w:pPr>
        <w:numPr>
          <w:ilvl w:val="0"/>
          <w:numId w:val="6"/>
        </w:numPr>
        <w:tabs>
          <w:tab w:val="clear" w:pos="360"/>
          <w:tab w:val="num" w:pos="1559"/>
        </w:tabs>
        <w:ind w:left="1559" w:hanging="284"/>
        <w:jc w:val="both"/>
        <w:rPr>
          <w:sz w:val="22"/>
          <w:szCs w:val="22"/>
        </w:rPr>
      </w:pPr>
      <w:r>
        <w:rPr>
          <w:sz w:val="22"/>
          <w:szCs w:val="22"/>
        </w:rPr>
        <w:t>de calculer le coefficient de corrélation et la droite de régression.</w:t>
      </w:r>
    </w:p>
    <w:p>
      <w:pPr>
        <w:rPr>
          <w:sz w:val="22"/>
          <w:szCs w:val="22"/>
        </w:rPr>
      </w:pPr>
    </w:p>
    <w:p>
      <w:pPr>
        <w:jc w:val="both"/>
        <w:rPr>
          <w:sz w:val="22"/>
          <w:szCs w:val="22"/>
        </w:rPr>
      </w:pPr>
    </w:p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5.</w:t>
      </w:r>
      <w:r>
        <w:rPr>
          <w:b/>
          <w:bCs/>
          <w:sz w:val="22"/>
          <w:szCs w:val="22"/>
        </w:rPr>
        <w:tab/>
        <w:t>CHARGE(S) DE COURS</w:t>
      </w:r>
    </w:p>
    <w:p>
      <w:pPr>
        <w:rPr>
          <w:sz w:val="22"/>
          <w:szCs w:val="22"/>
        </w:rPr>
      </w:pPr>
    </w:p>
    <w:p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Un enseignant.</w:t>
      </w:r>
    </w:p>
    <w:p/>
    <w:p/>
    <w:p>
      <w:pPr>
        <w:ind w:left="426" w:hanging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</w:t>
      </w:r>
      <w:r>
        <w:rPr>
          <w:b/>
          <w:bCs/>
          <w:sz w:val="22"/>
          <w:szCs w:val="22"/>
        </w:rPr>
        <w:tab/>
      </w:r>
      <w:r>
        <w:rPr>
          <w:b/>
          <w:bCs/>
          <w:caps/>
          <w:sz w:val="22"/>
          <w:szCs w:val="22"/>
        </w:rPr>
        <w:t>Constitution des groupes ou regroupement</w:t>
      </w:r>
    </w:p>
    <w:p>
      <w:pPr>
        <w:ind w:left="426" w:hanging="426"/>
        <w:jc w:val="both"/>
        <w:rPr>
          <w:b/>
          <w:bCs/>
          <w:sz w:val="22"/>
          <w:szCs w:val="22"/>
        </w:rPr>
      </w:pPr>
    </w:p>
    <w:p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Pour le laboratoire, deux étudiants par poste de travail.</w:t>
      </w:r>
    </w:p>
    <w:p>
      <w:pPr>
        <w:ind w:left="426"/>
        <w:jc w:val="both"/>
      </w:pPr>
    </w:p>
    <w:p>
      <w:pPr>
        <w:ind w:left="426"/>
        <w:jc w:val="both"/>
      </w:pPr>
    </w:p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7.</w:t>
      </w:r>
      <w:r>
        <w:rPr>
          <w:b/>
          <w:bCs/>
          <w:sz w:val="22"/>
          <w:szCs w:val="22"/>
        </w:rPr>
        <w:tab/>
        <w:t>HORAIRE MINIMUM DE L’UNITE D’ENSEIGNEMENT</w:t>
      </w:r>
    </w:p>
    <w:p>
      <w:pPr>
        <w:numPr>
          <w:ilvl w:val="12"/>
          <w:numId w:val="0"/>
        </w:numPr>
        <w:ind w:left="708" w:hanging="708"/>
        <w:rPr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3"/>
        <w:gridCol w:w="1701"/>
        <w:gridCol w:w="1701"/>
        <w:gridCol w:w="1701"/>
      </w:tblGrid>
      <w:t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>
            <w:p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7.1. Dénomination des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</w:pPr>
            <w: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</w:pPr>
            <w: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</w:pPr>
            <w:r>
              <w:t>Nombre de périodes</w:t>
            </w:r>
          </w:p>
        </w:tc>
      </w:tr>
      <w:tr>
        <w:tc>
          <w:tcPr>
            <w:tcW w:w="4253" w:type="dxa"/>
            <w:tcBorders>
              <w:top w:val="nil"/>
              <w:left w:val="single" w:sz="12" w:space="0" w:color="auto"/>
            </w:tcBorders>
          </w:tcPr>
          <w:p>
            <w:r>
              <w:t xml:space="preserve">Statistique 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jc w:val="center"/>
            </w:pPr>
            <w: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ind w:right="567"/>
              <w:jc w:val="right"/>
            </w:pPr>
            <w:r>
              <w:t>B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>
            <w:pPr>
              <w:ind w:right="567"/>
              <w:jc w:val="right"/>
            </w:pPr>
            <w:r>
              <w:t>16</w:t>
            </w:r>
          </w:p>
        </w:tc>
      </w:tr>
      <w:tr>
        <w:tc>
          <w:tcPr>
            <w:tcW w:w="4253" w:type="dxa"/>
            <w:tcBorders>
              <w:top w:val="nil"/>
              <w:left w:val="single" w:sz="12" w:space="0" w:color="auto"/>
            </w:tcBorders>
          </w:tcPr>
          <w:p>
            <w:r>
              <w:t xml:space="preserve">Laboratoire de logiciel appliqué à la statistique 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jc w:val="center"/>
            </w:pPr>
            <w: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ind w:right="567"/>
              <w:jc w:val="right"/>
            </w:pPr>
            <w:r>
              <w:t>S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>
            <w:pPr>
              <w:ind w:right="567"/>
              <w:jc w:val="right"/>
            </w:pPr>
            <w:r>
              <w:t>16</w:t>
            </w:r>
          </w:p>
        </w:tc>
      </w:tr>
      <w:tr>
        <w:tc>
          <w:tcPr>
            <w:tcW w:w="5954" w:type="dxa"/>
            <w:gridSpan w:val="2"/>
            <w:tcBorders>
              <w:left w:val="single" w:sz="12" w:space="0" w:color="auto"/>
              <w:bottom w:val="nil"/>
            </w:tcBorders>
          </w:tcPr>
          <w:p>
            <w:p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7.2. Part d’autonomie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ind w:right="567"/>
              <w:jc w:val="right"/>
            </w:pPr>
            <w:r>
              <w:t>P</w:t>
            </w:r>
          </w:p>
        </w:tc>
        <w:tc>
          <w:tcPr>
            <w:tcW w:w="1701" w:type="dxa"/>
            <w:tcBorders>
              <w:bottom w:val="nil"/>
              <w:right w:val="single" w:sz="12" w:space="0" w:color="auto"/>
            </w:tcBorders>
          </w:tcPr>
          <w:p>
            <w:pPr>
              <w:ind w:right="567"/>
              <w:jc w:val="right"/>
            </w:pPr>
            <w:r>
              <w:t>8</w:t>
            </w:r>
          </w:p>
        </w:tc>
      </w:tr>
      <w:tr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r>
              <w:t>Total des périodes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>
            <w:pPr>
              <w:ind w:right="709"/>
              <w:jc w:val="right"/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ind w:right="567"/>
              <w:jc w:val="right"/>
              <w:rPr>
                <w:b/>
              </w:rPr>
            </w:pPr>
            <w:r>
              <w:rPr>
                <w:b/>
              </w:rPr>
              <w:t>40</w:t>
            </w:r>
          </w:p>
        </w:tc>
      </w:tr>
    </w:tbl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ind w:left="426"/>
        <w:jc w:val="both"/>
      </w:pPr>
    </w:p>
    <w:sectPr>
      <w:footerReference w:type="default" r:id="rId7"/>
      <w:type w:val="continuous"/>
      <w:pgSz w:w="11907" w:h="16840"/>
      <w:pgMar w:top="1418" w:right="1418" w:bottom="1418" w:left="1418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erif"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UE Eléments de statistique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2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5053FC"/>
    <w:multiLevelType w:val="hybridMultilevel"/>
    <w:tmpl w:val="66D0C9CE"/>
    <w:lvl w:ilvl="0" w:tplc="46C45FB2">
      <w:start w:val="1"/>
      <w:numFmt w:val="bullet"/>
      <w:lvlText w:val=""/>
      <w:lvlJc w:val="left"/>
      <w:pPr>
        <w:tabs>
          <w:tab w:val="num" w:pos="2563"/>
        </w:tabs>
        <w:ind w:left="2563" w:hanging="360"/>
      </w:pPr>
      <w:rPr>
        <w:rFonts w:ascii="Symbol" w:hAnsi="Symbol" w:hint="default"/>
        <w:color w:val="auto"/>
      </w:rPr>
    </w:lvl>
    <w:lvl w:ilvl="1" w:tplc="A50425C4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57141F1C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F0626286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133429BA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35BCE740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435810D4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F50458AE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9A82F8CC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FBB338C"/>
    <w:multiLevelType w:val="singleLevel"/>
    <w:tmpl w:val="4C9C5C0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14"/>
        <w:szCs w:val="14"/>
      </w:rPr>
    </w:lvl>
  </w:abstractNum>
  <w:abstractNum w:abstractNumId="3" w15:restartNumberingAfterBreak="0">
    <w:nsid w:val="18441304"/>
    <w:multiLevelType w:val="singleLevel"/>
    <w:tmpl w:val="F236CA02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  <w:color w:val="auto"/>
        <w:sz w:val="18"/>
        <w:szCs w:val="18"/>
      </w:rPr>
    </w:lvl>
  </w:abstractNum>
  <w:abstractNum w:abstractNumId="4" w15:restartNumberingAfterBreak="0">
    <w:nsid w:val="28951928"/>
    <w:multiLevelType w:val="singleLevel"/>
    <w:tmpl w:val="632E4458"/>
    <w:lvl w:ilvl="0">
      <w:start w:val="1"/>
      <w:numFmt w:val="bullet"/>
      <w:lvlText w:val=""/>
      <w:lvlJc w:val="left"/>
      <w:pPr>
        <w:tabs>
          <w:tab w:val="num" w:pos="1211"/>
        </w:tabs>
        <w:ind w:left="1191" w:hanging="340"/>
      </w:pPr>
      <w:rPr>
        <w:rFonts w:ascii="Symbol" w:hAnsi="Symbol" w:cs="Symbol" w:hint="default"/>
      </w:rPr>
    </w:lvl>
  </w:abstractNum>
  <w:abstractNum w:abstractNumId="5" w15:restartNumberingAfterBreak="0">
    <w:nsid w:val="2D0268B3"/>
    <w:multiLevelType w:val="hybridMultilevel"/>
    <w:tmpl w:val="EC5AF968"/>
    <w:lvl w:ilvl="0" w:tplc="9AFE954E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F10CCA"/>
    <w:multiLevelType w:val="hybridMultilevel"/>
    <w:tmpl w:val="A40286A4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537C06E0"/>
    <w:multiLevelType w:val="singleLevel"/>
    <w:tmpl w:val="C1FC8F9A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  <w:color w:val="auto"/>
      </w:rPr>
    </w:lvl>
  </w:abstractNum>
  <w:abstractNum w:abstractNumId="8" w15:restartNumberingAfterBreak="0">
    <w:nsid w:val="553640DD"/>
    <w:multiLevelType w:val="singleLevel"/>
    <w:tmpl w:val="76A620B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9" w15:restartNumberingAfterBreak="0">
    <w:nsid w:val="5AC4532D"/>
    <w:multiLevelType w:val="singleLevel"/>
    <w:tmpl w:val="6F9875FC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  <w:color w:val="auto"/>
      </w:rPr>
    </w:lvl>
  </w:abstractNum>
  <w:abstractNum w:abstractNumId="10" w15:restartNumberingAfterBreak="0">
    <w:nsid w:val="608F2435"/>
    <w:multiLevelType w:val="singleLevel"/>
    <w:tmpl w:val="26A028A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8"/>
        <w:szCs w:val="18"/>
      </w:rPr>
    </w:lvl>
  </w:abstractNum>
  <w:abstractNum w:abstractNumId="11" w15:restartNumberingAfterBreak="0">
    <w:nsid w:val="68A552CE"/>
    <w:multiLevelType w:val="singleLevel"/>
    <w:tmpl w:val="6CF6919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6A631502"/>
    <w:multiLevelType w:val="hybridMultilevel"/>
    <w:tmpl w:val="1EFE3BAA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1412897"/>
    <w:multiLevelType w:val="singleLevel"/>
    <w:tmpl w:val="7556DEAA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  <w:color w:val="auto"/>
      </w:rPr>
    </w:lvl>
  </w:abstractNum>
  <w:abstractNum w:abstractNumId="14" w15:restartNumberingAfterBreak="0">
    <w:nsid w:val="7A810512"/>
    <w:multiLevelType w:val="hybridMultilevel"/>
    <w:tmpl w:val="DC6229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Symbol" w:hint="default"/>
        </w:rPr>
      </w:lvl>
    </w:lvlOverride>
  </w:num>
  <w:num w:numId="3">
    <w:abstractNumId w:val="4"/>
  </w:num>
  <w:num w:numId="4">
    <w:abstractNumId w:val="9"/>
  </w:num>
  <w:num w:numId="5">
    <w:abstractNumId w:val="11"/>
  </w:num>
  <w:num w:numId="6">
    <w:abstractNumId w:val="3"/>
  </w:num>
  <w:num w:numId="7">
    <w:abstractNumId w:val="2"/>
  </w:num>
  <w:num w:numId="8">
    <w:abstractNumId w:val="8"/>
  </w:num>
  <w:num w:numId="9">
    <w:abstractNumId w:val="10"/>
  </w:num>
  <w:num w:numId="10">
    <w:abstractNumId w:val="13"/>
  </w:num>
  <w:num w:numId="11">
    <w:abstractNumId w:val="7"/>
  </w:num>
  <w:num w:numId="12">
    <w:abstractNumId w:val="14"/>
  </w:num>
  <w:num w:numId="13">
    <w:abstractNumId w:val="6"/>
  </w:num>
  <w:num w:numId="14">
    <w:abstractNumId w:val="12"/>
  </w:num>
  <w:num w:numId="15">
    <w:abstractNumId w:val="5"/>
  </w:num>
  <w:num w:numId="16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Times New Roman" w:hint="default"/>
        </w:rPr>
      </w:lvl>
    </w:lvlOverride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defaultTabStop w:val="425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898824E-A3B6-465A-9017-BD138798D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fr-BE" w:eastAsia="fr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  <w:lang w:val="fr-FR" w:eastAsia="fr-FR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ind w:left="851"/>
      <w:jc w:val="both"/>
      <w:outlineLvl w:val="0"/>
    </w:pPr>
    <w:rPr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ind w:left="851"/>
      <w:outlineLvl w:val="1"/>
    </w:pPr>
    <w:rPr>
      <w:b/>
      <w:bCs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spacing w:before="240" w:after="60"/>
      <w:ind w:left="851" w:hanging="425"/>
      <w:outlineLvl w:val="2"/>
    </w:pPr>
    <w:rPr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jc w:val="center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fr-FR"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fr-FR" w:eastAsia="fr-FR"/>
    </w:rPr>
  </w:style>
  <w:style w:type="paragraph" w:customStyle="1" w:styleId="Texte">
    <w:name w:val="Texte"/>
    <w:basedOn w:val="Normal"/>
    <w:rPr>
      <w:rFonts w:ascii="MS Serif" w:hAnsi="MS Serif" w:cs="MS Serif"/>
      <w:noProof/>
      <w:lang w:val="en-US"/>
    </w:rPr>
  </w:style>
  <w:style w:type="character" w:styleId="Numrodepage">
    <w:name w:val="page number"/>
    <w:basedOn w:val="Policepardfaut"/>
    <w:uiPriority w:val="99"/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Pr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Pr>
      <w:sz w:val="20"/>
      <w:szCs w:val="20"/>
      <w:lang w:val="fr-FR" w:eastAsia="fr-FR"/>
    </w:rPr>
  </w:style>
  <w:style w:type="paragraph" w:styleId="Corpsdetexte2">
    <w:name w:val="Body Text 2"/>
    <w:basedOn w:val="Normal"/>
    <w:link w:val="Corpsdetexte2Car"/>
    <w:uiPriority w:val="99"/>
    <w:pPr>
      <w:ind w:left="426"/>
    </w:pPr>
    <w:rPr>
      <w:sz w:val="22"/>
      <w:szCs w:val="22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rPr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uiPriority w:val="99"/>
    <w:pPr>
      <w:ind w:left="1625"/>
    </w:pPr>
    <w:rPr>
      <w:sz w:val="22"/>
      <w:szCs w:val="22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Pr>
      <w:sz w:val="20"/>
      <w:szCs w:val="20"/>
      <w:lang w:val="fr-FR" w:eastAsia="fr-FR"/>
    </w:rPr>
  </w:style>
  <w:style w:type="paragraph" w:styleId="Retraitcorpsdetexte3">
    <w:name w:val="Body Text Indent 3"/>
    <w:basedOn w:val="Normal"/>
    <w:link w:val="Retraitcorpsdetexte3Car"/>
    <w:uiPriority w:val="99"/>
    <w:pPr>
      <w:ind w:left="1843"/>
    </w:pPr>
    <w:rPr>
      <w:b/>
      <w:bCs/>
      <w:sz w:val="22"/>
      <w:szCs w:val="22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Pr>
      <w:sz w:val="16"/>
      <w:szCs w:val="16"/>
      <w:lang w:val="fr-FR" w:eastAsia="fr-FR"/>
    </w:rPr>
  </w:style>
  <w:style w:type="paragraph" w:styleId="Corpsdetexte">
    <w:name w:val="Body Text"/>
    <w:basedOn w:val="Normal"/>
    <w:link w:val="CorpsdetexteCar"/>
    <w:uiPriority w:val="99"/>
    <w:rPr>
      <w:b/>
      <w:bCs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sz w:val="20"/>
      <w:szCs w:val="20"/>
      <w:lang w:val="fr-FR" w:eastAsia="fr-FR"/>
    </w:rPr>
  </w:style>
  <w:style w:type="paragraph" w:customStyle="1" w:styleId="NormalInfopeda">
    <w:name w:val="Normal.Infopeda"/>
    <w:uiPriority w:val="99"/>
    <w:pPr>
      <w:autoSpaceDE w:val="0"/>
      <w:autoSpaceDN w:val="0"/>
      <w:spacing w:after="0" w:line="240" w:lineRule="auto"/>
      <w:ind w:firstLine="567"/>
      <w:jc w:val="both"/>
    </w:pPr>
    <w:rPr>
      <w:rFonts w:ascii="Arial" w:hAnsi="Arial" w:cs="Arial"/>
      <w:sz w:val="24"/>
      <w:szCs w:val="24"/>
      <w:lang w:val="fr-FR" w:eastAsia="fr-FR"/>
    </w:rPr>
  </w:style>
  <w:style w:type="paragraph" w:customStyle="1" w:styleId="P1">
    <w:name w:val="P1"/>
    <w:basedOn w:val="Normal"/>
    <w:uiPriority w:val="99"/>
    <w:pPr>
      <w:spacing w:before="120" w:after="120"/>
      <w:ind w:left="567"/>
    </w:pPr>
    <w:rPr>
      <w:b/>
      <w:bCs/>
      <w:sz w:val="24"/>
      <w:szCs w:val="24"/>
    </w:rPr>
  </w:style>
  <w:style w:type="paragraph" w:customStyle="1" w:styleId="P3">
    <w:name w:val="P3"/>
    <w:basedOn w:val="Normal"/>
    <w:uiPriority w:val="99"/>
    <w:pPr>
      <w:tabs>
        <w:tab w:val="left" w:pos="360"/>
      </w:tabs>
      <w:ind w:left="2758" w:hanging="283"/>
    </w:pPr>
  </w:style>
  <w:style w:type="paragraph" w:customStyle="1" w:styleId="p2">
    <w:name w:val="p2"/>
    <w:basedOn w:val="P3"/>
    <w:uiPriority w:val="99"/>
    <w:pPr>
      <w:tabs>
        <w:tab w:val="clear" w:pos="360"/>
      </w:tabs>
      <w:ind w:left="993" w:hanging="141"/>
    </w:pPr>
    <w:rPr>
      <w:rFonts w:ascii="Arial" w:hAnsi="Arial" w:cs="Arial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val="fr-FR" w:eastAsia="en-US"/>
    </w:rPr>
  </w:style>
  <w:style w:type="paragraph" w:styleId="Paragraphedeliste">
    <w:name w:val="List Paragraph"/>
    <w:basedOn w:val="Normal"/>
    <w:uiPriority w:val="34"/>
    <w:qFormat/>
    <w:pPr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fr-B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9363288286414A8472BDCFC2138D56" ma:contentTypeVersion="9" ma:contentTypeDescription="Create a new document." ma:contentTypeScope="" ma:versionID="f7fcc5a39c7b183b4c80eba1092540c3">
  <xsd:schema xmlns:xsd="http://www.w3.org/2001/XMLSchema" xmlns:xs="http://www.w3.org/2001/XMLSchema" xmlns:p="http://schemas.microsoft.com/office/2006/metadata/properties" xmlns:ns2="36a5bde4-2b22-4d21-bb03-451645d32047" xmlns:ns3="f3b8a696-58b9-4e40-967e-6a2429643145" targetNamespace="http://schemas.microsoft.com/office/2006/metadata/properties" ma:root="true" ma:fieldsID="e0d05506e4a4454a5961c1615adec4a3" ns2:_="" ns3:_="">
    <xsd:import namespace="36a5bde4-2b22-4d21-bb03-451645d32047"/>
    <xsd:import namespace="f3b8a696-58b9-4e40-967e-6a24296431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5bde4-2b22-4d21-bb03-451645d320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a696-58b9-4e40-967e-6a24296431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1E8F0A-861D-499E-A96B-6B6B4D69A11E}"/>
</file>

<file path=customXml/itemProps2.xml><?xml version="1.0" encoding="utf-8"?>
<ds:datastoreItem xmlns:ds="http://schemas.openxmlformats.org/officeDocument/2006/customXml" ds:itemID="{B92DEDCC-6F79-4FBF-AF25-F7E0ABD67D3D}"/>
</file>

<file path=customXml/itemProps3.xml><?xml version="1.0" encoding="utf-8"?>
<ds:datastoreItem xmlns:ds="http://schemas.openxmlformats.org/officeDocument/2006/customXml" ds:itemID="{9D83FCA1-3DC0-4170-B692-892674F5183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826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Dossier pédagogique épreuve intégrée - définitif</vt:lpstr>
    </vt:vector>
  </TitlesOfParts>
  <Company>CFWB</Company>
  <LinksUpToDate>false</LinksUpToDate>
  <CharactersWithSpaces>5361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pédagogique épreuve intégrée - définitif</dc:title>
  <dc:creator>Nicole LOGNARD</dc:creator>
  <cp:lastModifiedBy>goulet02</cp:lastModifiedBy>
  <cp:revision>8</cp:revision>
  <cp:lastPrinted>1999-01-18T08:37:00Z</cp:lastPrinted>
  <dcterms:created xsi:type="dcterms:W3CDTF">2017-01-12T13:36:00Z</dcterms:created>
  <dcterms:modified xsi:type="dcterms:W3CDTF">2018-12-05T10:33:00Z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0x0101008C9363288286414A8472BDCFC2138D56</vt:lpwstr>
  </property>
</Properties>
</file>