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6</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73XX96U32D2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6</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nuancée, utilisée dans des situations diversifiées de </w:t>
      </w:r>
      <w:r>
        <w:rPr>
          <w:b/>
          <w:sz w:val="22"/>
        </w:rPr>
        <w:t>la vie 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8"/>
        </w:numPr>
        <w:ind w:left="991"/>
        <w:jc w:val="both"/>
        <w:rPr>
          <w:sz w:val="22"/>
        </w:rPr>
      </w:pPr>
      <w:r>
        <w:rPr>
          <w:sz w:val="22"/>
        </w:rPr>
        <w:t>une sensibilisation aux différents registres de langage, en fonction des interlocuteurs et des situations,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Pr>
          <w:p>
            <w:pPr>
              <w:rPr>
                <w:sz w:val="22"/>
              </w:rPr>
            </w:pPr>
            <w:r>
              <w:rPr>
                <w:sz w:val="22"/>
              </w:rPr>
              <w:t>B2.1</w:t>
            </w:r>
          </w:p>
        </w:tc>
        <w:tc>
          <w:tcPr>
            <w:tcW w:w="0" w:type="auto"/>
            <w:shd w:val="clear" w:color="auto" w:fill="7F7F7F" w:themeFill="text1" w:themeFillTint="80"/>
          </w:tcPr>
          <w:p>
            <w:pPr>
              <w:rPr>
                <w:b/>
                <w:sz w:val="22"/>
              </w:rPr>
            </w:pPr>
            <w:r>
              <w:rPr>
                <w:b/>
                <w:sz w:val="22"/>
              </w:rPr>
              <w:t>B2.2</w:t>
            </w:r>
          </w:p>
        </w:tc>
      </w:tr>
      <w:tr>
        <w:trPr>
          <w:jc w:val="center"/>
        </w:trPr>
        <w:tc>
          <w:tcPr>
            <w:tcW w:w="0" w:type="auto"/>
            <w:gridSpan w:val="2"/>
            <w:shd w:val="clear" w:color="auto" w:fill="7F7F7F" w:themeFill="text1" w:themeFillTint="80"/>
          </w:tcPr>
          <w:p>
            <w:pPr>
              <w:jc w:val="center"/>
              <w:rPr>
                <w:b/>
                <w:sz w:val="22"/>
              </w:rPr>
            </w:pPr>
            <w:r>
              <w:rPr>
                <w:b/>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overflowPunct/>
        <w:autoSpaceDE/>
        <w:autoSpaceDN/>
        <w:adjustRightInd/>
        <w:ind w:left="540"/>
        <w:jc w:val="both"/>
        <w:textAlignment w:val="auto"/>
        <w:rPr>
          <w:sz w:val="22"/>
          <w:szCs w:val="22"/>
        </w:rPr>
      </w:pPr>
      <w:r>
        <w:rPr>
          <w:sz w:val="22"/>
          <w:szCs w:val="22"/>
        </w:rPr>
        <w:t xml:space="preserve">Maîtriser les acquis d’apprentissage de l’unité d’enseignement « Langue en situation appliquée à l’enseignement supérieur – UE 5 », à savoir 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5”"/>
        </w:smartTagPr>
        <w:r>
          <w:rPr>
            <w:sz w:val="22"/>
          </w:rPr>
          <w:t>5”</w:t>
        </w:r>
      </w:smartTag>
      <w:r>
        <w:rPr>
          <w:sz w:val="22"/>
        </w:rPr>
        <w:t xml:space="preserve"> classée dans l’enseignement supérieur de type court.</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nuancée,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texte de type argumentatif, authentique et actualisé, lié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avec aisance (échanger des idées et des informations, faire des suggestions et réagir adéquatement aux propos des interlocuteurs,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spacing w:before="120"/>
        <w:ind w:left="1276"/>
        <w:jc w:val="both"/>
        <w:rPr>
          <w:sz w:val="22"/>
          <w:szCs w:val="22"/>
        </w:rPr>
      </w:pPr>
      <w:r>
        <w:rPr>
          <w:sz w:val="22"/>
          <w:szCs w:val="22"/>
        </w:rPr>
        <w:t xml:space="preserve">faire un exposé structuré ou présenter un projet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argumentatif cohérent et structuré sur un sujet d'ordre professionnel en utilisant le vocabulaire spécifique au domaine considéré (économique, informatique, technique, scientifique, artistique, etc.).</w:t>
      </w:r>
    </w:p>
    <w:p>
      <w:pPr>
        <w:tabs>
          <w:tab w:val="num" w:pos="4254"/>
        </w:tabs>
        <w:spacing w:before="120"/>
        <w:ind w:left="1276"/>
        <w:jc w:val="both"/>
        <w:rPr>
          <w:sz w:val="22"/>
          <w:szCs w:val="22"/>
        </w:rPr>
      </w:pPr>
    </w:p>
    <w:p>
      <w:pPr>
        <w:tabs>
          <w:tab w:val="num" w:pos="4254"/>
        </w:tabs>
        <w:spacing w:before="120"/>
        <w:ind w:left="1276"/>
        <w:jc w:val="both"/>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 </w:t>
      </w:r>
    </w:p>
    <w:p>
      <w:pPr>
        <w:numPr>
          <w:ilvl w:val="0"/>
          <w:numId w:val="2"/>
        </w:numPr>
        <w:tabs>
          <w:tab w:val="num" w:pos="1276"/>
          <w:tab w:val="num" w:pos="4254"/>
        </w:tabs>
        <w:spacing w:before="120"/>
        <w:ind w:left="1276" w:hanging="283"/>
        <w:jc w:val="both"/>
        <w:rPr>
          <w:sz w:val="22"/>
        </w:rPr>
      </w:pPr>
      <w:r>
        <w:rPr>
          <w:sz w:val="22"/>
        </w:rPr>
        <w:t>comprendre un exposé relatif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courriers professionnels (demandes d'information, commandes, confirmations, plaintes etc.) ;</w:t>
      </w:r>
    </w:p>
    <w:p>
      <w:pPr>
        <w:numPr>
          <w:ilvl w:val="0"/>
          <w:numId w:val="2"/>
        </w:numPr>
        <w:tabs>
          <w:tab w:val="clear" w:pos="1544"/>
          <w:tab w:val="num" w:pos="1276"/>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clear" w:pos="1544"/>
          <w:tab w:val="num" w:pos="1276"/>
        </w:tabs>
        <w:spacing w:before="120"/>
        <w:ind w:left="1276" w:hanging="283"/>
        <w:jc w:val="both"/>
        <w:rPr>
          <w:sz w:val="22"/>
        </w:rPr>
      </w:pPr>
      <w:r>
        <w:rPr>
          <w:sz w:val="22"/>
        </w:rPr>
        <w:t>comprendre un texte de type argumentatif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 liées au domaine considéré</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avec aisance dans des échanges professionnels, en utilisant des termes et expressions appropriés et des procédés adéquats pour prendre la parole et en faciliter la poursuite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demander à quelqu’un de clarifier ou de développer ses propos ;</w:t>
      </w:r>
    </w:p>
    <w:p>
      <w:pPr>
        <w:numPr>
          <w:ilvl w:val="0"/>
          <w:numId w:val="2"/>
        </w:numPr>
        <w:tabs>
          <w:tab w:val="num" w:pos="1276"/>
          <w:tab w:val="num" w:pos="4254"/>
        </w:tabs>
        <w:spacing w:before="120"/>
        <w:ind w:left="1276" w:hanging="283"/>
        <w:jc w:val="both"/>
        <w:rPr>
          <w:sz w:val="22"/>
        </w:rPr>
      </w:pPr>
      <w:r>
        <w:rPr>
          <w:sz w:val="22"/>
        </w:rPr>
        <w:t>commenter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lastRenderedPageBreak/>
        <w:t>expliquer en quoi une situation pose problème et discuter des solutions possibles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t>exprimer de façon appropriée ses convictions, son accord ou son désaccord et inviter les autres à le faire ;</w:t>
      </w:r>
    </w:p>
    <w:p>
      <w:pPr>
        <w:numPr>
          <w:ilvl w:val="0"/>
          <w:numId w:val="2"/>
        </w:numPr>
        <w:tabs>
          <w:tab w:val="num" w:pos="1276"/>
          <w:tab w:val="num" w:pos="4254"/>
        </w:tabs>
        <w:spacing w:before="120"/>
        <w:ind w:left="1276" w:hanging="283"/>
        <w:jc w:val="both"/>
        <w:rPr>
          <w:sz w:val="22"/>
        </w:rPr>
      </w:pPr>
      <w:r>
        <w:rPr>
          <w:sz w:val="22"/>
        </w:rPr>
        <w:t>argumenter de manière nuancée pour convaincre son interlocuteur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recourir de manière appropriée à des stratégies permettant de compenser les lacunes linguistiques pour répondre aux exigences de la communication,</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développer une argumentation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i/>
          <w:sz w:val="22"/>
        </w:rPr>
        <w:t xml:space="preserve">dans le cadre de situations professionnelles. </w:t>
      </w:r>
    </w:p>
    <w:p>
      <w:pPr>
        <w:rPr>
          <w:b/>
          <w:sz w:val="22"/>
        </w:rPr>
      </w:pPr>
    </w:p>
    <w:p>
      <w:pPr>
        <w:ind w:left="720"/>
        <w:rPr>
          <w:b/>
          <w:sz w:val="22"/>
        </w:rPr>
      </w:pPr>
    </w:p>
    <w:p>
      <w:pPr>
        <w:ind w:left="720"/>
        <w:rPr>
          <w:b/>
          <w:sz w:val="22"/>
        </w:rPr>
      </w:pPr>
    </w:p>
    <w:p>
      <w:pPr>
        <w:ind w:left="720"/>
        <w:rPr>
          <w:b/>
          <w:sz w:val="22"/>
        </w:rPr>
      </w:pPr>
      <w:r>
        <w:rPr>
          <w:b/>
          <w:sz w:val="22"/>
        </w:rPr>
        <w:lastRenderedPageBreak/>
        <w:t>4.2. Langue appliquée au domaine considéré</w:t>
      </w:r>
    </w:p>
    <w:p>
      <w:pPr>
        <w:tabs>
          <w:tab w:val="num" w:pos="4254"/>
        </w:tabs>
        <w:spacing w:before="120"/>
        <w:jc w:val="both"/>
        <w:rPr>
          <w:sz w:val="22"/>
        </w:rPr>
      </w:pPr>
    </w:p>
    <w:p>
      <w:pPr>
        <w:ind w:left="426"/>
        <w:jc w:val="both"/>
        <w:rPr>
          <w:i/>
          <w:sz w:val="22"/>
        </w:rPr>
      </w:pPr>
      <w:r>
        <w:rPr>
          <w:i/>
          <w:sz w:val="22"/>
        </w:rPr>
        <w:t>L'étudiant sera capable de :</w:t>
      </w:r>
    </w:p>
    <w:p>
      <w:pPr>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considéré.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liés au domaine professionnel considéré ;</w:t>
      </w:r>
    </w:p>
    <w:p>
      <w:pPr>
        <w:numPr>
          <w:ilvl w:val="0"/>
          <w:numId w:val="2"/>
        </w:numPr>
        <w:tabs>
          <w:tab w:val="clear" w:pos="1544"/>
          <w:tab w:val="num" w:pos="1276"/>
        </w:tabs>
        <w:spacing w:before="120"/>
        <w:ind w:left="1276" w:hanging="283"/>
        <w:jc w:val="both"/>
        <w:rPr>
          <w:sz w:val="22"/>
        </w:rPr>
      </w:pPr>
      <w:r>
        <w:rPr>
          <w:sz w:val="22"/>
        </w:rPr>
        <w:t>comprendre un texte de type argumentatif.</w:t>
      </w:r>
    </w:p>
    <w:p>
      <w:pPr>
        <w:spacing w:before="120"/>
        <w:jc w:val="both"/>
        <w:rPr>
          <w:sz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avec aisance dans des échanges (réagir adéquatement aux propos d'autres interlocuteurs, reformuler leurs propos pour confirmer la compréhension mutuelle, faire des suggestions, exprimer  ses convictions, son accord ou son désaccord, proposer des solutions à un problème,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 ;</w:t>
      </w:r>
    </w:p>
    <w:p>
      <w:pPr>
        <w:numPr>
          <w:ilvl w:val="0"/>
          <w:numId w:val="2"/>
        </w:numPr>
        <w:tabs>
          <w:tab w:val="num" w:pos="1276"/>
          <w:tab w:val="num" w:pos="4254"/>
        </w:tabs>
        <w:spacing w:before="120"/>
        <w:ind w:left="1276" w:hanging="283"/>
        <w:jc w:val="both"/>
        <w:rPr>
          <w:sz w:val="22"/>
          <w:szCs w:val="22"/>
        </w:rPr>
      </w:pPr>
      <w:r>
        <w:rPr>
          <w:sz w:val="22"/>
          <w:szCs w:val="22"/>
        </w:rPr>
        <w:t>argumenter pour convaincre son interlocuteur,</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40"/>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en argumentant,</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keepNext/>
        <w:widowControl w:val="0"/>
        <w:rPr>
          <w:sz w:val="22"/>
        </w:rPr>
      </w:pPr>
      <w:r>
        <w:rPr>
          <w:b/>
          <w:sz w:val="22"/>
        </w:rPr>
        <w:lastRenderedPageBreak/>
        <w:t>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auto"/>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auto"/>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lastRenderedPageBreak/>
              <w:t>Actes et gestes</w:t>
            </w:r>
          </w:p>
          <w:p>
            <w:pPr>
              <w:ind w:left="567"/>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overflowPunct/>
        <w:autoSpaceDE/>
        <w:autoSpaceDN/>
        <w:adjustRightInd/>
        <w:textAlignment w:val="auto"/>
        <w:rPr>
          <w:b/>
          <w:sz w:val="22"/>
          <w:lang w:val="es-ES"/>
        </w:rPr>
      </w:pPr>
      <w:r>
        <w:rPr>
          <w:b/>
          <w:sz w:val="22"/>
          <w:lang w:val="es-ES"/>
        </w:rPr>
        <w:br w:type="page"/>
      </w:r>
    </w:p>
    <w:p>
      <w:pPr>
        <w:pStyle w:val="Paragraphedeliste"/>
        <w:keepNext/>
        <w:widowControl w:val="0"/>
        <w:numPr>
          <w:ilvl w:val="0"/>
          <w:numId w:val="46"/>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74"/>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w:t>
            </w:r>
            <w:r>
              <w:rPr>
                <w:rFonts w:cs="Mangal"/>
                <w:sz w:val="22"/>
                <w:szCs w:val="22"/>
              </w:rPr>
              <w:lastRenderedPageBreak/>
              <w:t xml:space="preserve">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overflowPunct/>
              <w:adjustRightInd/>
              <w:textAlignment w:val="auto"/>
              <w:rPr>
                <w:rFonts w:cs="Mangal"/>
                <w:sz w:val="22"/>
                <w:szCs w:val="22"/>
              </w:rPr>
            </w:pP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sz w:val="22"/>
                <w:szCs w:val="22"/>
              </w:rPr>
            </w:pPr>
            <w:r>
              <w:rPr>
                <w:rFonts w:cs="Mangal"/>
                <w:b/>
                <w:sz w:val="22"/>
                <w:szCs w:val="22"/>
              </w:rPr>
              <w:lastRenderedPageBreak/>
              <w:t>Force de vente :</w:t>
            </w:r>
          </w:p>
          <w:p>
            <w:pPr>
              <w:numPr>
                <w:ilvl w:val="2"/>
                <w:numId w:val="20"/>
              </w:numPr>
              <w:tabs>
                <w:tab w:val="clear" w:pos="643"/>
                <w:tab w:val="num" w:pos="346"/>
                <w:tab w:val="num" w:pos="487"/>
                <w:tab w:val="num" w:pos="2444"/>
              </w:tabs>
              <w:overflowPunct/>
              <w:autoSpaceDE/>
              <w:adjustRightInd/>
              <w:spacing w:before="120" w:after="120" w:line="276" w:lineRule="auto"/>
              <w:ind w:left="487" w:hanging="203"/>
              <w:jc w:val="both"/>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lastRenderedPageBreak/>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lastRenderedPageBreak/>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5"/>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before="120" w:after="120"/>
              <w:ind w:left="284"/>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before="120" w:after="120"/>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16"/>
                <w:szCs w:val="16"/>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 xml:space="preserve">décrire l’équilibre des relations entre plantes, animaux, </w:t>
            </w:r>
            <w:r>
              <w:rPr>
                <w:bCs/>
                <w:sz w:val="22"/>
              </w:rPr>
              <w:lastRenderedPageBreak/>
              <w:t>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284"/>
        <w:rPr>
          <w:b/>
        </w:rPr>
      </w:pPr>
      <w:r>
        <w:rPr>
          <w:b/>
        </w:rPr>
        <w:t xml:space="preserve">D. Etc. </w:t>
      </w:r>
    </w:p>
    <w:p>
      <w:pPr>
        <w:overflowPunct/>
        <w:adjustRightInd/>
        <w:ind w:left="720"/>
        <w:textAlignment w:val="auto"/>
      </w:pPr>
    </w:p>
    <w:p>
      <w:pPr>
        <w:rPr>
          <w:b/>
          <w:sz w:val="22"/>
        </w:rPr>
      </w:pPr>
    </w:p>
    <w:p>
      <w:pPr>
        <w:jc w:val="both"/>
        <w:rPr>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sz w:val="22"/>
          <w:szCs w:val="22"/>
        </w:rPr>
      </w:pPr>
      <w:r>
        <w:rPr>
          <w:rFonts w:cs="Mangal"/>
          <w:b/>
          <w:bCs/>
          <w:spacing w:val="-2"/>
          <w:sz w:val="22"/>
          <w:szCs w:val="2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rPr>
          <w:trHeight w:val="315"/>
        </w:trP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6 </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1"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3"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5"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6"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8"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9"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0"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4472" w:hanging="360"/>
        </w:pPr>
        <w:rPr>
          <w:rFonts w:ascii="Symbol" w:hAnsi="Symbol" w:hint="default"/>
        </w:rPr>
      </w:lvl>
    </w:lvlOverride>
  </w:num>
  <w:num w:numId="2">
    <w:abstractNumId w:val="3"/>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8"/>
  </w:num>
  <w:num w:numId="10">
    <w:abstractNumId w:val="17"/>
  </w:num>
  <w:num w:numId="11">
    <w:abstractNumId w:val="11"/>
  </w:num>
  <w:num w:numId="12">
    <w:abstractNumId w:val="18"/>
  </w:num>
  <w:num w:numId="13">
    <w:abstractNumId w:val="5"/>
  </w:num>
  <w:num w:numId="14">
    <w:abstractNumId w:val="36"/>
  </w:num>
  <w:num w:numId="15">
    <w:abstractNumId w:val="24"/>
  </w:num>
  <w:num w:numId="16">
    <w:abstractNumId w:val="40"/>
  </w:num>
  <w:num w:numId="17">
    <w:abstractNumId w:val="31"/>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0"/>
  </w:num>
  <w:num w:numId="21">
    <w:abstractNumId w:val="8"/>
  </w:num>
  <w:num w:numId="22">
    <w:abstractNumId w:val="9"/>
  </w:num>
  <w:num w:numId="23">
    <w:abstractNumId w:val="13"/>
  </w:num>
  <w:num w:numId="24">
    <w:abstractNumId w:val="19"/>
  </w:num>
  <w:num w:numId="25">
    <w:abstractNumId w:val="4"/>
  </w:num>
  <w:num w:numId="26">
    <w:abstractNumId w:val="23"/>
  </w:num>
  <w:num w:numId="27">
    <w:abstractNumId w:val="20"/>
  </w:num>
  <w:num w:numId="28">
    <w:abstractNumId w:val="28"/>
  </w:num>
  <w:num w:numId="29">
    <w:abstractNumId w:val="21"/>
  </w:num>
  <w:num w:numId="30">
    <w:abstractNumId w:val="2"/>
  </w:num>
  <w:num w:numId="31">
    <w:abstractNumId w:val="15"/>
  </w:num>
  <w:num w:numId="32">
    <w:abstractNumId w:val="14"/>
  </w:num>
  <w:num w:numId="33">
    <w:abstractNumId w:val="10"/>
  </w:num>
  <w:num w:numId="34">
    <w:abstractNumId w:val="35"/>
  </w:num>
  <w:num w:numId="35">
    <w:abstractNumId w:val="37"/>
  </w:num>
  <w:num w:numId="36">
    <w:abstractNumId w:val="26"/>
  </w:num>
  <w:num w:numId="37">
    <w:abstractNumId w:val="27"/>
  </w:num>
  <w:num w:numId="38">
    <w:abstractNumId w:val="12"/>
  </w:num>
  <w:num w:numId="39">
    <w:abstractNumId w:val="6"/>
  </w:num>
  <w:num w:numId="40">
    <w:abstractNumId w:val="0"/>
    <w:lvlOverride w:ilvl="0">
      <w:lvl w:ilvl="0">
        <w:start w:val="1"/>
        <w:numFmt w:val="bullet"/>
        <w:lvlText w:val=""/>
        <w:lvlJc w:val="left"/>
        <w:pPr>
          <w:ind w:left="1260" w:hanging="360"/>
        </w:pPr>
        <w:rPr>
          <w:rFonts w:ascii="Symbol" w:hAnsi="Symbol" w:hint="default"/>
        </w:rPr>
      </w:lvl>
    </w:lvlOverride>
  </w:num>
  <w:num w:numId="41">
    <w:abstractNumId w:val="34"/>
  </w:num>
  <w:num w:numId="42">
    <w:abstractNumId w:val="16"/>
  </w:num>
  <w:num w:numId="43">
    <w:abstractNumId w:val="7"/>
  </w:num>
  <w:num w:numId="44">
    <w:abstractNumId w:val="25"/>
  </w:num>
  <w:num w:numId="45">
    <w:abstractNumId w:val="29"/>
  </w:num>
  <w:num w:numId="46">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5E73295C-4DCD-4969-B289-BF5AA0CB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473918">
      <w:bodyDiv w:val="1"/>
      <w:marLeft w:val="0"/>
      <w:marRight w:val="0"/>
      <w:marTop w:val="0"/>
      <w:marBottom w:val="0"/>
      <w:divBdr>
        <w:top w:val="none" w:sz="0" w:space="0" w:color="auto"/>
        <w:left w:val="none" w:sz="0" w:space="0" w:color="auto"/>
        <w:bottom w:val="none" w:sz="0" w:space="0" w:color="auto"/>
        <w:right w:val="none" w:sz="0" w:space="0" w:color="auto"/>
      </w:divBdr>
    </w:div>
    <w:div w:id="1845393580">
      <w:bodyDiv w:val="1"/>
      <w:marLeft w:val="0"/>
      <w:marRight w:val="0"/>
      <w:marTop w:val="0"/>
      <w:marBottom w:val="0"/>
      <w:divBdr>
        <w:top w:val="none" w:sz="0" w:space="0" w:color="auto"/>
        <w:left w:val="none" w:sz="0" w:space="0" w:color="auto"/>
        <w:bottom w:val="none" w:sz="0" w:space="0" w:color="auto"/>
        <w:right w:val="none" w:sz="0" w:space="0" w:color="auto"/>
      </w:divBdr>
    </w:div>
    <w:div w:id="1852598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FA365D-0725-41EE-971D-ABCF8F9203A3}"/>
</file>

<file path=customXml/itemProps2.xml><?xml version="1.0" encoding="utf-8"?>
<ds:datastoreItem xmlns:ds="http://schemas.openxmlformats.org/officeDocument/2006/customXml" ds:itemID="{1B8B19E8-E66A-4A66-85A6-CFD32A1EB21E}"/>
</file>

<file path=customXml/itemProps3.xml><?xml version="1.0" encoding="utf-8"?>
<ds:datastoreItem xmlns:ds="http://schemas.openxmlformats.org/officeDocument/2006/customXml" ds:itemID="{C72D4E7F-261D-4E40-BD25-A1E5E7356A05}"/>
</file>

<file path=docProps/app.xml><?xml version="1.0" encoding="utf-8"?>
<Properties xmlns="http://schemas.openxmlformats.org/officeDocument/2006/extended-properties" xmlns:vt="http://schemas.openxmlformats.org/officeDocument/2006/docPropsVTypes">
  <Template>Normal.dotm</Template>
  <TotalTime>3</TotalTime>
  <Pages>1</Pages>
  <Words>5590</Words>
  <Characters>30746</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2016-06-29T07:03:00Z</dcterms:created>
  <dcterms:modified xsi:type="dcterms:W3CDTF">2017-02-07T10:37:00Z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