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18"/>
          <w:lang w:val="fr-FR"/>
        </w:rPr>
      </w:pPr>
      <w:r>
        <w:rPr>
          <w:rFonts w:ascii="Times New Roman" w:hAnsi="Times New Roman"/>
          <w:b/>
          <w:sz w:val="18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 xml:space="preserve">ENSEIGNEMENT DE PROMOTION SOCIALE </w:t>
      </w: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itre2"/>
        <w:tabs>
          <w:tab w:val="left" w:pos="0"/>
        </w:tabs>
        <w:rPr>
          <w:sz w:val="28"/>
        </w:rPr>
      </w:pPr>
      <w:r>
        <w:rPr>
          <w:sz w:val="28"/>
        </w:rPr>
        <w:t>DOSSIER PEDAGOGIQUE</w:t>
      </w:r>
    </w:p>
    <w:p>
      <w:pPr>
        <w:pStyle w:val="Titre1"/>
      </w:pPr>
    </w:p>
    <w:p/>
    <w:p>
      <w:pPr>
        <w:pStyle w:val="Titre2"/>
        <w:rPr>
          <w:caps/>
        </w:rPr>
      </w:pPr>
      <w:r>
        <w:t>UNITE D'ENSEIGNEMENT</w:t>
      </w:r>
      <w:r>
        <w:rPr>
          <w:b w:val="0"/>
          <w:bCs w:val="0"/>
        </w:rPr>
        <w:t xml:space="preserve"> </w:t>
      </w: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DROIT APPLIQUE AU SECTEUR TOURISTIQUE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COURT</w:t>
      </w:r>
    </w:p>
    <w:p>
      <w:pPr>
        <w:jc w:val="center"/>
        <w:rPr>
          <w:rStyle w:val="Titredulivre"/>
        </w:rPr>
      </w:pPr>
      <w:r>
        <w:rPr>
          <w:rStyle w:val="Titredulivre"/>
        </w:rPr>
        <w:t>Domaine : Sciences juridiques</w:t>
      </w: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tbl>
      <w:tblPr>
        <w:tblW w:w="612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>
        <w:trPr>
          <w:jc w:val="center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  <w:r>
              <w:rPr>
                <w:rFonts w:ascii="Times New Roman" w:hAnsi="Times New Roman"/>
                <w:b/>
                <w:sz w:val="22"/>
                <w:lang w:val="nl-BE"/>
              </w:rPr>
              <w:t>CODE : 74 31 59 U32 D1</w:t>
            </w:r>
          </w:p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CODE DU DOMAINE DE FORMATION : 708</w:t>
            </w:r>
          </w:p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>DOCUMENT DE REFERENCE INTER-RESEAUX</w:t>
            </w:r>
          </w:p>
        </w:tc>
      </w:tr>
    </w:tbl>
    <w:p>
      <w:pPr>
        <w:sectPr>
          <w:headerReference w:type="default" r:id="rId8"/>
          <w:footnotePr>
            <w:pos w:val="beneathText"/>
          </w:footnotePr>
          <w:pgSz w:w="11905" w:h="16837"/>
          <w:pgMar w:top="1417" w:right="990" w:bottom="1291" w:left="1417" w:header="720" w:footer="720" w:gutter="0"/>
          <w:cols w:space="720"/>
          <w:docGrid w:linePitch="360"/>
        </w:sectPr>
      </w:pPr>
    </w:p>
    <w:p/>
    <w:p/>
    <w:p/>
    <w:p/>
    <w:p/>
    <w:p/>
    <w:p>
      <w:pPr>
        <w:jc w:val="center"/>
        <w:rPr>
          <w:b/>
        </w:rPr>
      </w:pPr>
      <w:r>
        <w:rPr>
          <w:b/>
        </w:rPr>
        <w:t>Approbation du Gouvernement de la Communauté française du 15 mai 2017</w:t>
      </w:r>
      <w:bookmarkStart w:id="0" w:name="_GoBack"/>
      <w:bookmarkEnd w:id="0"/>
      <w:r>
        <w:rPr>
          <w:b/>
        </w:rPr>
        <w:t>,</w:t>
      </w:r>
    </w:p>
    <w:p>
      <w:pPr>
        <w:jc w:val="center"/>
        <w:rPr>
          <w:b/>
        </w:rPr>
      </w:pPr>
      <w:r>
        <w:rPr>
          <w:b/>
        </w:rPr>
        <w:t>sur avis conforme du Conseil général</w:t>
      </w:r>
    </w:p>
    <w:p>
      <w:pPr>
        <w:rPr>
          <w:lang w:val="fr-BE"/>
        </w:rPr>
      </w:pPr>
    </w:p>
    <w:p>
      <w:pPr>
        <w:rPr>
          <w:lang w:val="fr-BE"/>
        </w:rPr>
      </w:pP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snapToGrid w:val="0"/>
              <w:rPr>
                <w:b/>
                <w:sz w:val="28"/>
              </w:rPr>
            </w:pPr>
          </w:p>
          <w:p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DROIT APPLIQUE AU SECTEUR TOURISTIQUE</w:t>
            </w:r>
          </w:p>
          <w:p>
            <w:pPr>
              <w:rPr>
                <w:b/>
                <w:sz w:val="28"/>
              </w:rPr>
            </w:pPr>
          </w:p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superieur de type court</w:t>
            </w:r>
          </w:p>
          <w:p>
            <w:pPr>
              <w:rPr>
                <w:b/>
                <w:sz w:val="28"/>
              </w:rPr>
            </w:pPr>
          </w:p>
        </w:tc>
      </w:tr>
    </w:tbl>
    <w:p/>
    <w:p/>
    <w:p>
      <w:pPr>
        <w:numPr>
          <w:ilvl w:val="0"/>
          <w:numId w:val="2"/>
        </w:numPr>
        <w:rPr>
          <w:b/>
          <w:sz w:val="22"/>
        </w:rPr>
      </w:pPr>
      <w:r>
        <w:rPr>
          <w:b/>
          <w:sz w:val="22"/>
        </w:rPr>
        <w:t>FINALITES DE L’UNITE D'ENSEIGNEMENT</w:t>
      </w:r>
    </w:p>
    <w:p/>
    <w:p>
      <w:pPr>
        <w:numPr>
          <w:ilvl w:val="1"/>
          <w:numId w:val="2"/>
        </w:numPr>
        <w:tabs>
          <w:tab w:val="left" w:pos="425"/>
          <w:tab w:val="left" w:pos="860"/>
        </w:tabs>
        <w:rPr>
          <w:b/>
          <w:sz w:val="22"/>
        </w:rPr>
      </w:pPr>
      <w:r>
        <w:rPr>
          <w:b/>
          <w:sz w:val="22"/>
        </w:rPr>
        <w:t>Finalités générales</w:t>
      </w:r>
    </w:p>
    <w:p>
      <w:pPr>
        <w:ind w:left="425"/>
        <w:rPr>
          <w:b/>
          <w:sz w:val="22"/>
        </w:rPr>
      </w:pPr>
    </w:p>
    <w:p>
      <w:pPr>
        <w:suppressAutoHyphens w:val="0"/>
        <w:spacing w:after="120"/>
        <w:ind w:left="851"/>
        <w:jc w:val="both"/>
        <w:rPr>
          <w:sz w:val="22"/>
        </w:rPr>
      </w:pPr>
      <w:r>
        <w:rPr>
          <w:sz w:val="22"/>
        </w:rPr>
        <w:t xml:space="preserve">Conformément à l’article 7 du décret de </w:t>
      </w:r>
      <w:smartTag w:uri="urn:schemas-microsoft-com:office:smarttags" w:element="PersonName">
        <w:smartTagPr>
          <w:attr w:name="ProductID" w:val="la Communauté"/>
        </w:smartTagPr>
        <w:r>
          <w:rPr>
            <w:sz w:val="22"/>
          </w:rPr>
          <w:t>la Communauté</w:t>
        </w:r>
      </w:smartTag>
      <w:r>
        <w:rPr>
          <w:sz w:val="22"/>
        </w:rPr>
        <w:t xml:space="preserve"> française du 16 avril 1991 organisant l'enseignement de promotion sociale, cette unité d'enseignement doit :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</w:rPr>
        <w:t xml:space="preserve"> à l’épanouissement individuel en promouvant une meilleure insertion professionnelle, sociale, culturelle et scolaire ;</w:t>
      </w:r>
    </w:p>
    <w:p>
      <w:pPr>
        <w:numPr>
          <w:ilvl w:val="0"/>
          <w:numId w:val="3"/>
        </w:numPr>
        <w:suppressAutoHyphens w:val="0"/>
        <w:ind w:left="1134" w:hanging="294"/>
        <w:jc w:val="both"/>
        <w:rPr>
          <w:sz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</w:rPr>
      </w:pPr>
    </w:p>
    <w:p>
      <w:pPr>
        <w:ind w:left="851" w:hanging="426"/>
        <w:rPr>
          <w:b/>
          <w:sz w:val="22"/>
        </w:rPr>
      </w:pPr>
      <w:r>
        <w:rPr>
          <w:b/>
          <w:sz w:val="22"/>
        </w:rPr>
        <w:t>1.2.</w:t>
      </w:r>
      <w:r>
        <w:rPr>
          <w:b/>
          <w:sz w:val="22"/>
        </w:rPr>
        <w:tab/>
        <w:t>Finalités particulières</w:t>
      </w:r>
    </w:p>
    <w:p>
      <w:pPr>
        <w:pStyle w:val="Texte"/>
        <w:numPr>
          <w:ilvl w:val="12"/>
          <w:numId w:val="0"/>
        </w:numPr>
        <w:ind w:left="851"/>
        <w:jc w:val="both"/>
        <w:rPr>
          <w:rFonts w:ascii="Times New Roman" w:hAnsi="Times New Roman"/>
          <w:color w:val="FF0000"/>
          <w:sz w:val="22"/>
        </w:rPr>
      </w:pPr>
    </w:p>
    <w:p>
      <w:pPr>
        <w:suppressAutoHyphens w:val="0"/>
        <w:spacing w:after="120"/>
        <w:ind w:left="851"/>
        <w:jc w:val="both"/>
        <w:rPr>
          <w:sz w:val="22"/>
        </w:rPr>
      </w:pPr>
      <w:bookmarkStart w:id="1" w:name="FIP"/>
      <w:bookmarkEnd w:id="1"/>
      <w:r>
        <w:rPr>
          <w:sz w:val="22"/>
        </w:rPr>
        <w:t>Cette unité d'enseignement vise à permettre à l’étudiant :</w:t>
      </w:r>
    </w:p>
    <w:p>
      <w:pPr>
        <w:numPr>
          <w:ilvl w:val="0"/>
          <w:numId w:val="14"/>
        </w:numPr>
        <w:tabs>
          <w:tab w:val="left" w:pos="1134"/>
        </w:tabs>
        <w:spacing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de s’approprier des connaissances générales en droit civil et en législation sociale ;</w:t>
      </w:r>
    </w:p>
    <w:p>
      <w:pPr>
        <w:numPr>
          <w:ilvl w:val="0"/>
          <w:numId w:val="14"/>
        </w:numPr>
        <w:tabs>
          <w:tab w:val="left" w:pos="1134"/>
        </w:tabs>
        <w:autoSpaceDE w:val="0"/>
        <w:ind w:left="1134" w:hanging="283"/>
        <w:jc w:val="both"/>
        <w:rPr>
          <w:sz w:val="22"/>
          <w:szCs w:val="22"/>
        </w:rPr>
      </w:pPr>
      <w:r>
        <w:rPr>
          <w:sz w:val="22"/>
          <w:szCs w:val="22"/>
        </w:rPr>
        <w:t>de s’initier à la gestion des litiges touristiques dans leurs aspects juridiques et des assurances ;</w:t>
      </w:r>
    </w:p>
    <w:p>
      <w:pPr>
        <w:numPr>
          <w:ilvl w:val="0"/>
          <w:numId w:val="14"/>
        </w:numPr>
        <w:tabs>
          <w:tab w:val="left" w:pos="1134"/>
        </w:tabs>
        <w:spacing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d’actualiser et de vérifier ses connaissances par la consultation et le tri d’informations juridiques.</w:t>
      </w:r>
    </w:p>
    <w:p>
      <w:pPr>
        <w:pStyle w:val="Paragraphedeliste"/>
        <w:ind w:left="0"/>
        <w:rPr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</w:rPr>
      </w:pPr>
      <w:r>
        <w:rPr>
          <w:b/>
          <w:sz w:val="22"/>
        </w:rPr>
        <w:t>CAPACITES PREALABLES REQUISES</w:t>
      </w:r>
    </w:p>
    <w:p>
      <w:pPr>
        <w:rPr>
          <w:sz w:val="22"/>
        </w:rPr>
      </w:pPr>
    </w:p>
    <w:p>
      <w:pPr>
        <w:numPr>
          <w:ilvl w:val="1"/>
          <w:numId w:val="2"/>
        </w:numPr>
        <w:tabs>
          <w:tab w:val="clear" w:pos="1080"/>
          <w:tab w:val="num" w:pos="900"/>
        </w:tabs>
        <w:rPr>
          <w:b/>
          <w:sz w:val="22"/>
        </w:rPr>
      </w:pPr>
      <w:r>
        <w:rPr>
          <w:b/>
          <w:sz w:val="22"/>
        </w:rPr>
        <w:t>Capacités</w:t>
      </w:r>
    </w:p>
    <w:p>
      <w:pPr>
        <w:ind w:left="360"/>
        <w:rPr>
          <w:b/>
          <w:sz w:val="22"/>
        </w:rPr>
      </w:pPr>
    </w:p>
    <w:p>
      <w:pPr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113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résumer les idées essentielles d’un texte d’intérêt général et les critiquer ;</w:t>
      </w:r>
    </w:p>
    <w:p>
      <w:pPr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ind w:left="113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produire un message structuré qui exprime un avis, une prise de position devant un fait, un événement ... (des documents d’information pouvant être mis à sa disposition).</w:t>
      </w:r>
    </w:p>
    <w:p>
      <w:pPr>
        <w:rPr>
          <w:sz w:val="22"/>
          <w:szCs w:val="22"/>
          <w:lang w:val="fr-BE"/>
        </w:rPr>
      </w:pPr>
    </w:p>
    <w:p>
      <w:pPr>
        <w:ind w:left="425"/>
        <w:rPr>
          <w:b/>
          <w:sz w:val="22"/>
        </w:rPr>
      </w:pPr>
      <w:r>
        <w:rPr>
          <w:b/>
          <w:sz w:val="22"/>
        </w:rPr>
        <w:t>2.2. Titre pouvant en tenir lieu</w:t>
      </w:r>
    </w:p>
    <w:p>
      <w:pPr>
        <w:rPr>
          <w:sz w:val="22"/>
          <w:szCs w:val="22"/>
        </w:rPr>
      </w:pPr>
    </w:p>
    <w:p>
      <w:pPr>
        <w:pStyle w:val="NormalWeb"/>
        <w:spacing w:before="0" w:beforeAutospacing="0" w:after="0" w:afterAutospacing="0"/>
        <w:ind w:left="709"/>
        <w:rPr>
          <w:sz w:val="22"/>
          <w:szCs w:val="22"/>
          <w:lang w:val="fr-FR" w:eastAsia="ar-SA"/>
        </w:rPr>
      </w:pPr>
      <w:r>
        <w:rPr>
          <w:sz w:val="22"/>
          <w:szCs w:val="22"/>
          <w:lang w:val="fr-FR" w:eastAsia="ar-SA"/>
        </w:rPr>
        <w:t>C.E.S.S.</w:t>
      </w:r>
    </w:p>
    <w:p>
      <w:pPr>
        <w:pStyle w:val="NormalWeb"/>
        <w:spacing w:before="0" w:beforeAutospacing="0" w:after="0" w:afterAutospacing="0"/>
        <w:rPr>
          <w:sz w:val="22"/>
          <w:szCs w:val="22"/>
          <w:lang w:val="fr-FR" w:eastAsia="ar-SA"/>
        </w:rPr>
      </w:pPr>
    </w:p>
    <w:p>
      <w:pPr>
        <w:suppressAutoHyphens w:val="0"/>
        <w:rPr>
          <w:b/>
          <w:sz w:val="22"/>
        </w:rPr>
      </w:pPr>
      <w:r>
        <w:rPr>
          <w:b/>
          <w:sz w:val="22"/>
        </w:rPr>
        <w:br w:type="page"/>
      </w:r>
    </w:p>
    <w:p>
      <w:pPr>
        <w:numPr>
          <w:ilvl w:val="0"/>
          <w:numId w:val="2"/>
        </w:numPr>
        <w:jc w:val="both"/>
        <w:rPr>
          <w:b/>
          <w:sz w:val="22"/>
        </w:rPr>
      </w:pPr>
      <w:r>
        <w:rPr>
          <w:b/>
          <w:sz w:val="22"/>
        </w:rPr>
        <w:lastRenderedPageBreak/>
        <w:t>ACQUIS D'APPRENTISSAGE</w:t>
      </w:r>
    </w:p>
    <w:p>
      <w:pPr>
        <w:ind w:left="283" w:hanging="283"/>
        <w:jc w:val="both"/>
        <w:rPr>
          <w:b/>
          <w:sz w:val="22"/>
        </w:rPr>
      </w:pPr>
    </w:p>
    <w:p>
      <w:pPr>
        <w:ind w:left="284"/>
        <w:jc w:val="both"/>
        <w:rPr>
          <w:b/>
          <w:sz w:val="22"/>
          <w:szCs w:val="22"/>
        </w:rPr>
      </w:pPr>
      <w:bookmarkStart w:id="2" w:name="CAT"/>
      <w:bookmarkEnd w:id="2"/>
      <w:r>
        <w:rPr>
          <w:b/>
          <w:sz w:val="22"/>
          <w:szCs w:val="22"/>
        </w:rPr>
        <w:t>Pour atteindre le seuil de réussite</w:t>
      </w:r>
      <w:r>
        <w:rPr>
          <w:sz w:val="22"/>
          <w:szCs w:val="22"/>
        </w:rPr>
        <w:t xml:space="preserve">, </w:t>
      </w:r>
      <w:r>
        <w:rPr>
          <w:b/>
          <w:sz w:val="22"/>
          <w:szCs w:val="22"/>
        </w:rPr>
        <w:t>l’étudiant sera capable,</w:t>
      </w:r>
    </w:p>
    <w:p>
      <w:pPr>
        <w:jc w:val="both"/>
        <w:rPr>
          <w:bCs/>
          <w:i/>
          <w:iCs/>
          <w:sz w:val="22"/>
          <w:szCs w:val="22"/>
        </w:rPr>
      </w:pPr>
    </w:p>
    <w:p>
      <w:pPr>
        <w:pStyle w:val="Corpsdetexte"/>
        <w:shd w:val="clear" w:color="auto" w:fill="FFFFFF" w:themeFill="background1"/>
        <w:ind w:left="425"/>
        <w:rPr>
          <w:i/>
          <w:szCs w:val="22"/>
        </w:rPr>
      </w:pPr>
      <w:r>
        <w:rPr>
          <w:i/>
          <w:szCs w:val="22"/>
        </w:rPr>
        <w:t>face à des situations juridiques simples concernant les notions suivantes : les contrats civils, la législation du travail, les assurances appliquées au tourisme et la réglementation du secteur touristique,</w:t>
      </w:r>
    </w:p>
    <w:p>
      <w:pPr>
        <w:pStyle w:val="Corpsdetexte"/>
        <w:shd w:val="clear" w:color="auto" w:fill="FFFFFF" w:themeFill="background1"/>
        <w:spacing w:before="120"/>
        <w:ind w:left="425"/>
        <w:rPr>
          <w:i/>
          <w:szCs w:val="22"/>
        </w:rPr>
      </w:pPr>
      <w:r>
        <w:rPr>
          <w:i/>
          <w:szCs w:val="22"/>
        </w:rPr>
        <w:t>en disposant de la documentation ad hoc,</w:t>
      </w:r>
    </w:p>
    <w:p>
      <w:pPr>
        <w:numPr>
          <w:ilvl w:val="0"/>
          <w:numId w:val="8"/>
        </w:numPr>
        <w:tabs>
          <w:tab w:val="left" w:pos="709"/>
        </w:tabs>
        <w:spacing w:before="120"/>
        <w:ind w:left="991"/>
        <w:rPr>
          <w:sz w:val="22"/>
          <w:szCs w:val="22"/>
        </w:rPr>
      </w:pPr>
      <w:r>
        <w:rPr>
          <w:sz w:val="22"/>
          <w:szCs w:val="22"/>
        </w:rPr>
        <w:t>d’identifier les cadres juridiques (parties en présence, niveaux de pouvoir et juridiction compétents, réglementations applicables …) ;</w:t>
      </w:r>
    </w:p>
    <w:p>
      <w:pPr>
        <w:numPr>
          <w:ilvl w:val="0"/>
          <w:numId w:val="8"/>
        </w:numPr>
        <w:tabs>
          <w:tab w:val="left" w:pos="709"/>
        </w:tabs>
        <w:spacing w:before="120"/>
        <w:ind w:left="991"/>
        <w:rPr>
          <w:sz w:val="22"/>
          <w:szCs w:val="22"/>
        </w:rPr>
      </w:pPr>
      <w:r>
        <w:rPr>
          <w:sz w:val="22"/>
          <w:szCs w:val="22"/>
        </w:rPr>
        <w:t>d’analyser ces situations en mettant en évidence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les règles juridiques ;</w:t>
      </w:r>
    </w:p>
    <w:p>
      <w:pPr>
        <w:numPr>
          <w:ilvl w:val="0"/>
          <w:numId w:val="8"/>
        </w:numPr>
        <w:tabs>
          <w:tab w:val="left" w:pos="709"/>
        </w:tabs>
        <w:spacing w:before="120"/>
        <w:ind w:left="991"/>
        <w:rPr>
          <w:sz w:val="22"/>
          <w:szCs w:val="22"/>
        </w:rPr>
      </w:pPr>
      <w:r>
        <w:rPr>
          <w:sz w:val="22"/>
          <w:szCs w:val="22"/>
        </w:rPr>
        <w:t>de les appliquer à partir des faits juridiquement pertinents.</w:t>
      </w:r>
    </w:p>
    <w:p>
      <w:pPr>
        <w:spacing w:before="120" w:after="120"/>
        <w:jc w:val="both"/>
        <w:rPr>
          <w:b/>
          <w:bCs/>
          <w:iCs/>
          <w:sz w:val="22"/>
          <w:szCs w:val="22"/>
        </w:rPr>
      </w:pPr>
    </w:p>
    <w:p>
      <w:pPr>
        <w:ind w:left="284"/>
        <w:jc w:val="both"/>
        <w:rPr>
          <w:sz w:val="22"/>
        </w:rPr>
      </w:pPr>
      <w:r>
        <w:rPr>
          <w:b/>
          <w:sz w:val="22"/>
        </w:rPr>
        <w:t xml:space="preserve">Pour la détermination du degré de maîtrise, </w:t>
      </w:r>
      <w:r>
        <w:rPr>
          <w:sz w:val="22"/>
        </w:rPr>
        <w:t>il sera tenu compte des critères suivants :</w:t>
      </w:r>
    </w:p>
    <w:p>
      <w:pPr>
        <w:ind w:left="284"/>
        <w:jc w:val="both"/>
        <w:rPr>
          <w:b/>
          <w:sz w:val="22"/>
        </w:rPr>
      </w:pPr>
    </w:p>
    <w:p>
      <w:pPr>
        <w:numPr>
          <w:ilvl w:val="0"/>
          <w:numId w:val="14"/>
        </w:numPr>
        <w:tabs>
          <w:tab w:val="clear" w:pos="1134"/>
          <w:tab w:val="left" w:pos="709"/>
          <w:tab w:val="num" w:pos="1417"/>
        </w:tabs>
        <w:spacing w:before="120"/>
        <w:ind w:left="992" w:hanging="284"/>
        <w:rPr>
          <w:sz w:val="22"/>
          <w:szCs w:val="22"/>
        </w:rPr>
      </w:pPr>
      <w:r>
        <w:rPr>
          <w:sz w:val="22"/>
          <w:szCs w:val="22"/>
        </w:rPr>
        <w:t>le degré de précision de l'argumentation,</w:t>
      </w:r>
    </w:p>
    <w:p>
      <w:pPr>
        <w:numPr>
          <w:ilvl w:val="0"/>
          <w:numId w:val="14"/>
        </w:numPr>
        <w:tabs>
          <w:tab w:val="clear" w:pos="1134"/>
          <w:tab w:val="left" w:pos="709"/>
          <w:tab w:val="num" w:pos="1417"/>
        </w:tabs>
        <w:spacing w:before="120"/>
        <w:ind w:left="992" w:hanging="284"/>
        <w:rPr>
          <w:sz w:val="22"/>
          <w:szCs w:val="22"/>
        </w:rPr>
      </w:pPr>
      <w:r>
        <w:rPr>
          <w:sz w:val="22"/>
          <w:szCs w:val="22"/>
        </w:rPr>
        <w:t>le degré de précision dans l’emploi des termes juridiques.</w:t>
      </w:r>
    </w:p>
    <w:p>
      <w:pPr>
        <w:tabs>
          <w:tab w:val="left" w:pos="709"/>
        </w:tabs>
        <w:spacing w:before="120"/>
        <w:rPr>
          <w:sz w:val="22"/>
          <w:szCs w:val="22"/>
        </w:rPr>
      </w:pPr>
    </w:p>
    <w:p>
      <w:pPr>
        <w:jc w:val="both"/>
        <w:rPr>
          <w:sz w:val="22"/>
          <w:szCs w:val="22"/>
        </w:rPr>
      </w:pPr>
    </w:p>
    <w:p>
      <w:pPr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</w:rPr>
      </w:pPr>
      <w:r>
        <w:rPr>
          <w:b/>
          <w:sz w:val="22"/>
        </w:rPr>
        <w:t>PROGRAMME</w:t>
      </w:r>
    </w:p>
    <w:p>
      <w:pPr>
        <w:rPr>
          <w:b/>
          <w:sz w:val="22"/>
        </w:rPr>
      </w:pPr>
    </w:p>
    <w:p>
      <w:pPr>
        <w:ind w:left="284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L’étudiant sera capable :</w:t>
      </w:r>
    </w:p>
    <w:p>
      <w:pPr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ab/>
      </w:r>
    </w:p>
    <w:p>
      <w:pPr>
        <w:pStyle w:val="Corpsdetexte"/>
        <w:shd w:val="clear" w:color="auto" w:fill="FFFFFF" w:themeFill="background1"/>
        <w:spacing w:after="0"/>
        <w:ind w:left="425"/>
        <w:rPr>
          <w:i/>
          <w:szCs w:val="22"/>
        </w:rPr>
      </w:pPr>
      <w:r>
        <w:rPr>
          <w:i/>
          <w:szCs w:val="22"/>
        </w:rPr>
        <w:t>face à des situations juridiques simples liées au secteur touristique,</w:t>
      </w:r>
    </w:p>
    <w:p>
      <w:pPr>
        <w:pStyle w:val="Corpsdetexte"/>
        <w:shd w:val="clear" w:color="auto" w:fill="FFFFFF" w:themeFill="background1"/>
        <w:spacing w:after="0"/>
        <w:ind w:left="425"/>
        <w:rPr>
          <w:i/>
          <w:szCs w:val="22"/>
        </w:rPr>
      </w:pPr>
      <w:r>
        <w:rPr>
          <w:i/>
          <w:szCs w:val="22"/>
        </w:rPr>
        <w:t>en disposant de la documentation ad hoc,</w:t>
      </w:r>
    </w:p>
    <w:p>
      <w:pPr>
        <w:jc w:val="both"/>
        <w:rPr>
          <w:bCs/>
          <w:iCs/>
          <w:sz w:val="22"/>
          <w:szCs w:val="22"/>
        </w:rPr>
      </w:pPr>
    </w:p>
    <w:p>
      <w:pPr>
        <w:jc w:val="both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4.1. Eléments de droit civil</w:t>
      </w:r>
    </w:p>
    <w:p>
      <w:pPr>
        <w:jc w:val="both"/>
        <w:rPr>
          <w:bCs/>
          <w:iCs/>
          <w:sz w:val="22"/>
          <w:szCs w:val="22"/>
        </w:rPr>
      </w:pPr>
    </w:p>
    <w:p>
      <w:pPr>
        <w:numPr>
          <w:ilvl w:val="0"/>
          <w:numId w:val="4"/>
        </w:numPr>
        <w:tabs>
          <w:tab w:val="left" w:pos="991"/>
          <w:tab w:val="left" w:pos="1068"/>
        </w:tabs>
        <w:spacing w:before="120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>de décrire et d’expliciter des notions essentielles du droit en général :</w:t>
      </w:r>
    </w:p>
    <w:p>
      <w:pPr>
        <w:numPr>
          <w:ilvl w:val="0"/>
          <w:numId w:val="11"/>
        </w:numPr>
        <w:jc w:val="both"/>
        <w:rPr>
          <w:sz w:val="22"/>
          <w:szCs w:val="22"/>
        </w:rPr>
      </w:pPr>
      <w:r>
        <w:rPr>
          <w:sz w:val="22"/>
          <w:szCs w:val="22"/>
        </w:rPr>
        <w:t>sens du mot « droit »,</w:t>
      </w:r>
    </w:p>
    <w:p>
      <w:pPr>
        <w:numPr>
          <w:ilvl w:val="0"/>
          <w:numId w:val="11"/>
        </w:numPr>
        <w:jc w:val="both"/>
        <w:rPr>
          <w:sz w:val="22"/>
          <w:szCs w:val="22"/>
        </w:rPr>
      </w:pPr>
      <w:r>
        <w:rPr>
          <w:sz w:val="22"/>
          <w:szCs w:val="22"/>
        </w:rPr>
        <w:t>fondement et hiérarchisation des sources du droit,</w:t>
      </w:r>
    </w:p>
    <w:p>
      <w:pPr>
        <w:numPr>
          <w:ilvl w:val="0"/>
          <w:numId w:val="11"/>
        </w:numPr>
        <w:jc w:val="both"/>
        <w:rPr>
          <w:sz w:val="22"/>
          <w:szCs w:val="22"/>
        </w:rPr>
      </w:pPr>
      <w:r>
        <w:rPr>
          <w:sz w:val="22"/>
          <w:szCs w:val="22"/>
        </w:rPr>
        <w:t>différents niveaux de pouvoir,</w:t>
      </w:r>
    </w:p>
    <w:p>
      <w:pPr>
        <w:numPr>
          <w:ilvl w:val="0"/>
          <w:numId w:val="11"/>
        </w:numPr>
        <w:jc w:val="both"/>
        <w:rPr>
          <w:sz w:val="22"/>
          <w:szCs w:val="22"/>
        </w:rPr>
      </w:pPr>
      <w:r>
        <w:rPr>
          <w:sz w:val="22"/>
          <w:szCs w:val="22"/>
        </w:rPr>
        <w:t>compétences des tribunaux,</w:t>
      </w:r>
    </w:p>
    <w:p>
      <w:pPr>
        <w:numPr>
          <w:ilvl w:val="0"/>
          <w:numId w:val="11"/>
        </w:numPr>
        <w:jc w:val="both"/>
        <w:rPr>
          <w:sz w:val="22"/>
          <w:szCs w:val="22"/>
        </w:rPr>
      </w:pPr>
      <w:r>
        <w:rPr>
          <w:sz w:val="22"/>
          <w:szCs w:val="22"/>
        </w:rPr>
        <w:t>caractéristiques formelles des personnes physiques et morales,</w:t>
      </w:r>
    </w:p>
    <w:p>
      <w:pPr>
        <w:numPr>
          <w:ilvl w:val="0"/>
          <w:numId w:val="11"/>
        </w:numPr>
        <w:jc w:val="both"/>
        <w:rPr>
          <w:sz w:val="22"/>
          <w:szCs w:val="22"/>
        </w:rPr>
      </w:pPr>
      <w:r>
        <w:rPr>
          <w:sz w:val="22"/>
          <w:szCs w:val="22"/>
        </w:rPr>
        <w:t>théorie générale des contrats : classification, conditions de validité, extinction ;</w:t>
      </w:r>
    </w:p>
    <w:p>
      <w:pPr>
        <w:numPr>
          <w:ilvl w:val="0"/>
          <w:numId w:val="4"/>
        </w:numPr>
        <w:tabs>
          <w:tab w:val="left" w:pos="991"/>
          <w:tab w:val="left" w:pos="1068"/>
          <w:tab w:val="num" w:pos="1134"/>
        </w:tabs>
        <w:spacing w:before="120"/>
        <w:ind w:left="992" w:hanging="284"/>
        <w:jc w:val="both"/>
        <w:rPr>
          <w:sz w:val="22"/>
          <w:szCs w:val="22"/>
        </w:rPr>
      </w:pPr>
      <w:r>
        <w:rPr>
          <w:sz w:val="22"/>
          <w:szCs w:val="22"/>
        </w:rPr>
        <w:t>d’identifier les parties en présence, les éléments essentiels et les obligations de chacun des cocontractants des contrats de vente et de prêt ;</w:t>
      </w:r>
    </w:p>
    <w:p>
      <w:pPr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spacing w:before="120"/>
        <w:jc w:val="both"/>
        <w:rPr>
          <w:bCs/>
          <w:iCs/>
          <w:sz w:val="22"/>
          <w:szCs w:val="22"/>
        </w:rPr>
      </w:pPr>
      <w:r>
        <w:rPr>
          <w:sz w:val="22"/>
          <w:szCs w:val="22"/>
        </w:rPr>
        <w:t>d’appliquer les principes relatifs aux conditions de validité des contrats et à leurs effets.</w:t>
      </w:r>
    </w:p>
    <w:p>
      <w:pPr>
        <w:suppressAutoHyphens w:val="0"/>
        <w:overflowPunct w:val="0"/>
        <w:autoSpaceDE w:val="0"/>
        <w:autoSpaceDN w:val="0"/>
        <w:adjustRightInd w:val="0"/>
        <w:spacing w:before="120"/>
        <w:ind w:left="360"/>
        <w:jc w:val="both"/>
        <w:rPr>
          <w:bCs/>
          <w:iCs/>
          <w:sz w:val="22"/>
          <w:szCs w:val="22"/>
        </w:rPr>
      </w:pPr>
    </w:p>
    <w:p>
      <w:pPr>
        <w:jc w:val="both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4.2. Sensibilisation à la législation du travail</w:t>
      </w:r>
    </w:p>
    <w:p>
      <w:pPr>
        <w:numPr>
          <w:ilvl w:val="0"/>
          <w:numId w:val="12"/>
        </w:numPr>
        <w:tabs>
          <w:tab w:val="left" w:pos="992"/>
          <w:tab w:val="left" w:pos="1068"/>
        </w:tabs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décrire et d’expliciter des notions essentielles relevant du droit du travail telles que </w:t>
      </w:r>
    </w:p>
    <w:p>
      <w:pPr>
        <w:numPr>
          <w:ilvl w:val="0"/>
          <w:numId w:val="19"/>
        </w:numPr>
        <w:tabs>
          <w:tab w:val="left" w:pos="992"/>
        </w:tabs>
        <w:jc w:val="both"/>
        <w:rPr>
          <w:sz w:val="22"/>
          <w:szCs w:val="22"/>
        </w:rPr>
      </w:pPr>
      <w:r>
        <w:rPr>
          <w:sz w:val="22"/>
          <w:szCs w:val="22"/>
        </w:rPr>
        <w:t>le règlement du travail, la protection de la rémunération, le repos dominical, les jours fériés, l’égalité entre les hommes et les femmes,</w:t>
      </w:r>
    </w:p>
    <w:p>
      <w:pPr>
        <w:numPr>
          <w:ilvl w:val="0"/>
          <w:numId w:val="19"/>
        </w:numPr>
        <w:tabs>
          <w:tab w:val="left" w:pos="992"/>
        </w:tabs>
        <w:jc w:val="both"/>
        <w:rPr>
          <w:sz w:val="22"/>
          <w:szCs w:val="22"/>
        </w:rPr>
      </w:pPr>
      <w:r>
        <w:rPr>
          <w:sz w:val="22"/>
          <w:szCs w:val="22"/>
        </w:rPr>
        <w:t>les systèmes et les organisations de défense des droits sociaux de différentes catégories de travailleurs,</w:t>
      </w:r>
    </w:p>
    <w:p>
      <w:pPr>
        <w:numPr>
          <w:ilvl w:val="0"/>
          <w:numId w:val="19"/>
        </w:numPr>
        <w:tabs>
          <w:tab w:val="left" w:pos="992"/>
        </w:tabs>
        <w:jc w:val="both"/>
        <w:rPr>
          <w:sz w:val="22"/>
          <w:szCs w:val="22"/>
        </w:rPr>
      </w:pPr>
      <w:r>
        <w:rPr>
          <w:sz w:val="22"/>
          <w:szCs w:val="22"/>
        </w:rPr>
        <w:t>le rôle du conseil d’entreprise, de la délégation syndicale et du comité pour la protection et la prévention au travail,</w:t>
      </w:r>
    </w:p>
    <w:p>
      <w:pPr>
        <w:numPr>
          <w:ilvl w:val="0"/>
          <w:numId w:val="19"/>
        </w:numPr>
        <w:tabs>
          <w:tab w:val="left" w:pos="992"/>
        </w:tabs>
        <w:jc w:val="both"/>
        <w:rPr>
          <w:sz w:val="22"/>
          <w:szCs w:val="22"/>
        </w:rPr>
      </w:pPr>
      <w:r>
        <w:rPr>
          <w:sz w:val="22"/>
          <w:szCs w:val="22"/>
        </w:rPr>
        <w:t>l’importance des conventions collectives du travail dans le droit social ;</w:t>
      </w:r>
    </w:p>
    <w:p>
      <w:pPr>
        <w:numPr>
          <w:ilvl w:val="0"/>
          <w:numId w:val="12"/>
        </w:numPr>
        <w:tabs>
          <w:tab w:val="left" w:pos="992"/>
          <w:tab w:val="left" w:pos="1068"/>
        </w:tabs>
        <w:spacing w:before="120"/>
        <w:ind w:left="992" w:hanging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de se constituer une documentation actualisée utilisable dans la vie professionnelle.</w:t>
      </w:r>
    </w:p>
    <w:p>
      <w:pPr>
        <w:jc w:val="both"/>
        <w:rPr>
          <w:bCs/>
          <w:iCs/>
          <w:sz w:val="22"/>
          <w:szCs w:val="22"/>
        </w:rPr>
      </w:pPr>
    </w:p>
    <w:p>
      <w:pPr>
        <w:jc w:val="both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4.3. Eléments de droit appliqué au secteur touristique</w:t>
      </w:r>
    </w:p>
    <w:p>
      <w:pPr>
        <w:jc w:val="both"/>
        <w:rPr>
          <w:b/>
          <w:bCs/>
          <w:iCs/>
          <w:sz w:val="22"/>
          <w:szCs w:val="22"/>
        </w:rPr>
      </w:pPr>
    </w:p>
    <w:p>
      <w:pPr>
        <w:numPr>
          <w:ilvl w:val="0"/>
          <w:numId w:val="16"/>
        </w:numPr>
        <w:autoSpaceDE w:val="0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d’identifier</w:t>
      </w:r>
      <w:r>
        <w:rPr>
          <w:sz w:val="22"/>
          <w:szCs w:val="22"/>
          <w:shd w:val="clear" w:color="auto" w:fill="FFFFFF" w:themeFill="background1"/>
          <w:lang w:val="fr-BE"/>
        </w:rPr>
        <w:t xml:space="preserve"> </w:t>
      </w:r>
      <w:r>
        <w:rPr>
          <w:sz w:val="22"/>
          <w:szCs w:val="22"/>
          <w:lang w:val="fr-BE"/>
        </w:rPr>
        <w:t>les missions juridiques des principales institutions du tourisme aux niveaux régional, national, européen et international ;</w:t>
      </w:r>
    </w:p>
    <w:p>
      <w:pPr>
        <w:numPr>
          <w:ilvl w:val="0"/>
          <w:numId w:val="16"/>
        </w:numPr>
        <w:autoSpaceDE w:val="0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d’analyser, en relation avec la théorie générale des contrats :</w:t>
      </w:r>
    </w:p>
    <w:p>
      <w:pPr>
        <w:numPr>
          <w:ilvl w:val="1"/>
          <w:numId w:val="16"/>
        </w:numPr>
        <w:tabs>
          <w:tab w:val="clear" w:pos="2015"/>
        </w:tabs>
        <w:autoSpaceDE w:val="0"/>
        <w:ind w:left="1560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les pratiques commerciales propres aux activités touristiques nationales, européennes et internationales,</w:t>
      </w:r>
    </w:p>
    <w:p>
      <w:pPr>
        <w:numPr>
          <w:ilvl w:val="1"/>
          <w:numId w:val="16"/>
        </w:numPr>
        <w:tabs>
          <w:tab w:val="clear" w:pos="2015"/>
        </w:tabs>
        <w:autoSpaceDE w:val="0"/>
        <w:ind w:left="1560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les réglementations en matière de transport des personnes,</w:t>
      </w:r>
    </w:p>
    <w:p>
      <w:pPr>
        <w:numPr>
          <w:ilvl w:val="1"/>
          <w:numId w:val="16"/>
        </w:numPr>
        <w:tabs>
          <w:tab w:val="clear" w:pos="2015"/>
        </w:tabs>
        <w:autoSpaceDE w:val="0"/>
        <w:ind w:left="1560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les réglementations relatives à l’hébergement et aux attractions ;</w:t>
      </w:r>
    </w:p>
    <w:p>
      <w:pPr>
        <w:numPr>
          <w:ilvl w:val="0"/>
          <w:numId w:val="16"/>
        </w:numPr>
        <w:autoSpaceDE w:val="0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définir le rôle et le champ d’application de la Commission des Litiges.</w:t>
      </w:r>
    </w:p>
    <w:p>
      <w:pPr>
        <w:rPr>
          <w:b/>
          <w:sz w:val="22"/>
        </w:rPr>
      </w:pPr>
    </w:p>
    <w:p>
      <w:pPr>
        <w:jc w:val="both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4.4. Assurances appliquées au tourisme</w:t>
      </w:r>
    </w:p>
    <w:p>
      <w:pPr>
        <w:jc w:val="both"/>
        <w:rPr>
          <w:bCs/>
          <w:iCs/>
          <w:sz w:val="22"/>
          <w:szCs w:val="22"/>
        </w:rPr>
      </w:pPr>
    </w:p>
    <w:p>
      <w:pPr>
        <w:numPr>
          <w:ilvl w:val="0"/>
          <w:numId w:val="15"/>
        </w:numPr>
        <w:autoSpaceDE w:val="0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d’analyser les clauses essentielles des contrats d’assurances de dommage ;</w:t>
      </w:r>
    </w:p>
    <w:p>
      <w:pPr>
        <w:numPr>
          <w:ilvl w:val="0"/>
          <w:numId w:val="15"/>
        </w:numPr>
        <w:autoSpaceDE w:val="0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 xml:space="preserve">de les appliquer dans les domaines du tourisme et des loisirs : </w:t>
      </w:r>
    </w:p>
    <w:p>
      <w:pPr>
        <w:numPr>
          <w:ilvl w:val="0"/>
          <w:numId w:val="20"/>
        </w:numPr>
        <w:autoSpaceDE w:val="0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la responsabilité civile dans les relations avec les personnes,</w:t>
      </w:r>
    </w:p>
    <w:p>
      <w:pPr>
        <w:numPr>
          <w:ilvl w:val="0"/>
          <w:numId w:val="20"/>
        </w:numPr>
        <w:autoSpaceDE w:val="0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le tourisme réceptif (hébergement, centres d’attraction, organisation d’événements, …),</w:t>
      </w:r>
    </w:p>
    <w:p>
      <w:pPr>
        <w:numPr>
          <w:ilvl w:val="0"/>
          <w:numId w:val="20"/>
        </w:numPr>
        <w:autoSpaceDE w:val="0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les voyages : assurances du voyagiste (non exécution du contrat, contre-assurances) et voyageur (annulation, bagages, accident, assistance,…) ;</w:t>
      </w:r>
    </w:p>
    <w:p>
      <w:pPr>
        <w:pStyle w:val="Paragraphedeliste"/>
        <w:numPr>
          <w:ilvl w:val="0"/>
          <w:numId w:val="5"/>
        </w:numPr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d’identifier le rôle et le fonctionnement du fonds de garantie en matière de voyage.</w:t>
      </w:r>
    </w:p>
    <w:p>
      <w:pPr>
        <w:rPr>
          <w:b/>
          <w:sz w:val="22"/>
        </w:rPr>
      </w:pPr>
    </w:p>
    <w:p>
      <w:pPr>
        <w:jc w:val="both"/>
      </w:pPr>
    </w:p>
    <w:p>
      <w:pPr>
        <w:numPr>
          <w:ilvl w:val="0"/>
          <w:numId w:val="2"/>
        </w:numPr>
        <w:tabs>
          <w:tab w:val="num" w:pos="1134"/>
        </w:tabs>
        <w:jc w:val="both"/>
        <w:rPr>
          <w:b/>
          <w:sz w:val="22"/>
        </w:rPr>
      </w:pPr>
      <w:r>
        <w:rPr>
          <w:b/>
          <w:sz w:val="22"/>
        </w:rPr>
        <w:t>CHARGE(S) DE COURS</w:t>
      </w:r>
    </w:p>
    <w:p>
      <w:pPr>
        <w:pStyle w:val="Titre1"/>
        <w:widowControl/>
        <w:numPr>
          <w:ilvl w:val="0"/>
          <w:numId w:val="0"/>
        </w:numPr>
        <w:ind w:left="68"/>
        <w:rPr>
          <w:sz w:val="22"/>
        </w:rPr>
      </w:pPr>
    </w:p>
    <w:p>
      <w:pPr>
        <w:ind w:left="284"/>
        <w:jc w:val="both"/>
        <w:rPr>
          <w:sz w:val="22"/>
        </w:rPr>
      </w:pPr>
      <w:r>
        <w:rPr>
          <w:sz w:val="22"/>
        </w:rPr>
        <w:t>Le chargé de cours sera un enseignant ou un expert.</w:t>
      </w:r>
    </w:p>
    <w:p>
      <w:pPr>
        <w:ind w:left="284"/>
        <w:jc w:val="both"/>
        <w:rPr>
          <w:sz w:val="22"/>
        </w:rPr>
      </w:pPr>
    </w:p>
    <w:p>
      <w:pPr>
        <w:ind w:left="284"/>
        <w:jc w:val="both"/>
        <w:rPr>
          <w:sz w:val="22"/>
        </w:rPr>
      </w:pPr>
      <w:r>
        <w:rPr>
          <w:sz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jc w:val="both"/>
        <w:rPr>
          <w:b/>
          <w:sz w:val="22"/>
          <w:u w:val="single"/>
        </w:rPr>
      </w:pPr>
    </w:p>
    <w:p>
      <w:pPr>
        <w:jc w:val="both"/>
        <w:rPr>
          <w:sz w:val="22"/>
        </w:rPr>
      </w:pPr>
    </w:p>
    <w:p>
      <w:pPr>
        <w:numPr>
          <w:ilvl w:val="0"/>
          <w:numId w:val="2"/>
        </w:numPr>
        <w:jc w:val="both"/>
        <w:rPr>
          <w:b/>
          <w:sz w:val="22"/>
        </w:rPr>
      </w:pPr>
      <w:r>
        <w:rPr>
          <w:b/>
          <w:sz w:val="22"/>
        </w:rPr>
        <w:t>CONSTITUTION DES GROUPES OU REGROUPEMENT</w:t>
      </w:r>
    </w:p>
    <w:p>
      <w:pPr>
        <w:pStyle w:val="Titre1"/>
        <w:widowControl/>
        <w:numPr>
          <w:ilvl w:val="0"/>
          <w:numId w:val="0"/>
        </w:numPr>
        <w:ind w:left="68"/>
        <w:rPr>
          <w:sz w:val="22"/>
        </w:rPr>
      </w:pPr>
    </w:p>
    <w:p>
      <w:pPr>
        <w:tabs>
          <w:tab w:val="center" w:pos="4677"/>
        </w:tabs>
        <w:ind w:left="284"/>
        <w:jc w:val="both"/>
        <w:rPr>
          <w:sz w:val="22"/>
        </w:rPr>
      </w:pPr>
      <w:r>
        <w:rPr>
          <w:sz w:val="22"/>
        </w:rPr>
        <w:t>Aucune recommandation particulière.</w:t>
      </w:r>
      <w:r>
        <w:rPr>
          <w:sz w:val="22"/>
        </w:rPr>
        <w:tab/>
      </w:r>
    </w:p>
    <w:p>
      <w:pPr>
        <w:tabs>
          <w:tab w:val="center" w:pos="4677"/>
        </w:tabs>
        <w:ind w:left="284"/>
        <w:jc w:val="both"/>
        <w:rPr>
          <w:sz w:val="22"/>
        </w:rPr>
      </w:pPr>
    </w:p>
    <w:p>
      <w:pPr>
        <w:tabs>
          <w:tab w:val="center" w:pos="4677"/>
        </w:tabs>
        <w:ind w:left="284"/>
        <w:jc w:val="both"/>
        <w:rPr>
          <w:sz w:val="22"/>
        </w:rPr>
      </w:pPr>
    </w:p>
    <w:p>
      <w:pPr>
        <w:numPr>
          <w:ilvl w:val="0"/>
          <w:numId w:val="2"/>
        </w:numPr>
        <w:rPr>
          <w:b/>
          <w:sz w:val="22"/>
        </w:rPr>
      </w:pPr>
      <w:r>
        <w:rPr>
          <w:b/>
          <w:sz w:val="22"/>
        </w:rPr>
        <w:t>HORAIRE MINIMUM DE L’UNITE D'ENSEIGNEMENT</w:t>
      </w:r>
    </w:p>
    <w:p>
      <w:pPr>
        <w:ind w:left="708" w:hanging="708"/>
        <w:rPr>
          <w:sz w:val="22"/>
        </w:rPr>
      </w:pPr>
    </w:p>
    <w:tbl>
      <w:tblPr>
        <w:tblW w:w="8965" w:type="dxa"/>
        <w:tblInd w:w="-6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37"/>
        <w:gridCol w:w="1417"/>
        <w:gridCol w:w="1856"/>
        <w:gridCol w:w="2255"/>
      </w:tblGrid>
      <w:tr>
        <w:tc>
          <w:tcPr>
            <w:tcW w:w="3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snapToGrid w:val="0"/>
              <w:ind w:left="4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7.1. Dénomination des cours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Classement </w:t>
            </w:r>
          </w:p>
        </w:tc>
        <w:tc>
          <w:tcPr>
            <w:tcW w:w="185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pStyle w:val="Titre3"/>
              <w:spacing w:before="100" w:beforeAutospacing="1" w:after="100" w:afterAutospacing="1"/>
              <w:jc w:val="center"/>
              <w:rPr>
                <w:rFonts w:ascii="Times New Roman" w:hAnsi="Times New Roman"/>
                <w:bCs w:val="0"/>
                <w:sz w:val="22"/>
                <w:szCs w:val="22"/>
              </w:rPr>
            </w:pPr>
            <w:r>
              <w:rPr>
                <w:rFonts w:ascii="Times New Roman" w:hAnsi="Times New Roman"/>
                <w:bCs w:val="0"/>
                <w:sz w:val="22"/>
                <w:szCs w:val="22"/>
              </w:rPr>
              <w:t>Code U</w:t>
            </w:r>
          </w:p>
        </w:tc>
        <w:tc>
          <w:tcPr>
            <w:tcW w:w="225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Nombre de périodes</w:t>
            </w:r>
          </w:p>
        </w:tc>
      </w:tr>
      <w:tr>
        <w:tc>
          <w:tcPr>
            <w:tcW w:w="343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snapToGrid w:val="0"/>
              <w:rPr>
                <w:sz w:val="22"/>
                <w:szCs w:val="22"/>
              </w:rPr>
            </w:pPr>
            <w:bookmarkStart w:id="3" w:name="VOL"/>
            <w:bookmarkEnd w:id="3"/>
            <w:r>
              <w:rPr>
                <w:sz w:val="22"/>
                <w:szCs w:val="22"/>
              </w:rPr>
              <w:t>Eléments de droit civil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856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2255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snapToGrid w:val="0"/>
              <w:ind w:right="4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>
        <w:tc>
          <w:tcPr>
            <w:tcW w:w="343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Sensibilisation à la législation du travail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856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2255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snapToGrid w:val="0"/>
              <w:ind w:right="4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>
        <w:tc>
          <w:tcPr>
            <w:tcW w:w="343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Eléments de droit appliqué au secteur touristique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856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2255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snapToGrid w:val="0"/>
              <w:ind w:right="4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>
        <w:tc>
          <w:tcPr>
            <w:tcW w:w="343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Assurances appliquées au tourisme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856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2255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snapToGrid w:val="0"/>
              <w:ind w:right="4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>
        <w:tc>
          <w:tcPr>
            <w:tcW w:w="343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snapToGrid w:val="0"/>
              <w:ind w:left="4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7.2. Part d’autonomie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2255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snapToGrid w:val="0"/>
              <w:ind w:right="4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>
        <w:tc>
          <w:tcPr>
            <w:tcW w:w="34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snapToGrid w:val="0"/>
              <w:ind w:left="4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417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snapToGrid w:val="0"/>
              <w:ind w:right="46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</w:t>
            </w:r>
          </w:p>
        </w:tc>
      </w:tr>
    </w:tbl>
    <w:p>
      <w:pPr>
        <w:snapToGrid w:val="0"/>
        <w:ind w:left="426"/>
        <w:rPr>
          <w:b/>
          <w:sz w:val="22"/>
          <w:szCs w:val="22"/>
        </w:rPr>
      </w:pPr>
    </w:p>
    <w:p>
      <w:pPr>
        <w:tabs>
          <w:tab w:val="center" w:pos="4677"/>
        </w:tabs>
        <w:ind w:left="284"/>
        <w:jc w:val="both"/>
      </w:pPr>
    </w:p>
    <w:sectPr>
      <w:headerReference w:type="even" r:id="rId9"/>
      <w:headerReference w:type="default" r:id="rId10"/>
      <w:footerReference w:type="default" r:id="rId11"/>
      <w:headerReference w:type="first" r:id="rId12"/>
      <w:footnotePr>
        <w:pos w:val="beneathText"/>
      </w:footnotePr>
      <w:type w:val="continuous"/>
      <w:pgSz w:w="11905" w:h="16837"/>
      <w:pgMar w:top="1417" w:right="1417" w:bottom="1291" w:left="1417" w:header="141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sz w:val="16"/>
      </w:rPr>
    </w:pPr>
    <w:r>
      <w:rPr>
        <w:sz w:val="16"/>
      </w:rPr>
      <w:t>Bac Management en tourisme et loisirs – UE : Droit appliqué au secteur touristique</w:t>
    </w:r>
    <w:r>
      <w:rPr>
        <w:sz w:val="16"/>
      </w:rPr>
      <w:tab/>
    </w:r>
    <w:r>
      <w:rPr>
        <w:sz w:val="16"/>
      </w:rPr>
      <w:tab/>
      <w:t xml:space="preserve">Page 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 xml:space="preserve"> /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>
      <w:rPr>
        <w:noProof/>
        <w:sz w:val="16"/>
      </w:rPr>
      <w:t>4</w:t>
    </w:r>
    <w:r>
      <w:rPr>
        <w:sz w:val="16"/>
      </w:rPr>
      <w:fldChar w:fldCharType="end"/>
    </w:r>
  </w:p>
  <w:p>
    <w:pPr>
      <w:pStyle w:val="Pieddepage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A2A2088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"/>
      <w:lvlJc w:val="left"/>
      <w:pPr>
        <w:tabs>
          <w:tab w:val="num" w:pos="1134"/>
        </w:tabs>
      </w:pPr>
      <w:rPr>
        <w:rFonts w:ascii="Symbol" w:hAnsi="Symbol"/>
        <w:sz w:val="22"/>
      </w:rPr>
    </w:lvl>
  </w:abstractNum>
  <w:abstractNum w:abstractNumId="3" w15:restartNumberingAfterBreak="0">
    <w:nsid w:val="00000003"/>
    <w:multiLevelType w:val="singleLevel"/>
    <w:tmpl w:val="00000002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  <w:sz w:val="22"/>
        <w:szCs w:val="16"/>
      </w:rPr>
    </w:lvl>
  </w:abstractNum>
  <w:abstractNum w:abstractNumId="4" w15:restartNumberingAfterBreak="0">
    <w:nsid w:val="00000005"/>
    <w:multiLevelType w:val="multi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435"/>
        </w:tabs>
      </w:pPr>
    </w:lvl>
    <w:lvl w:ilvl="1">
      <w:start w:val="1"/>
      <w:numFmt w:val="decimal"/>
      <w:lvlText w:val="%1.%2."/>
      <w:lvlJc w:val="left"/>
      <w:pPr>
        <w:tabs>
          <w:tab w:val="num" w:pos="860"/>
        </w:tabs>
      </w:pPr>
    </w:lvl>
    <w:lvl w:ilvl="2">
      <w:start w:val="1"/>
      <w:numFmt w:val="decimal"/>
      <w:lvlText w:val="%1.%2.%3."/>
      <w:lvlJc w:val="left"/>
      <w:pPr>
        <w:tabs>
          <w:tab w:val="num" w:pos="1570"/>
        </w:tabs>
      </w:pPr>
    </w:lvl>
    <w:lvl w:ilvl="3">
      <w:start w:val="1"/>
      <w:numFmt w:val="decimal"/>
      <w:lvlText w:val="%1.%2.%3.%4."/>
      <w:lvlJc w:val="left"/>
      <w:pPr>
        <w:tabs>
          <w:tab w:val="num" w:pos="1995"/>
        </w:tabs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</w:pPr>
    </w:lvl>
  </w:abstractNum>
  <w:abstractNum w:abstractNumId="5" w15:restartNumberingAfterBreak="0">
    <w:nsid w:val="00000008"/>
    <w:multiLevelType w:val="singleLevel"/>
    <w:tmpl w:val="00000008"/>
    <w:lvl w:ilvl="0">
      <w:numFmt w:val="bullet"/>
      <w:lvlText w:val=""/>
      <w:lvlJc w:val="left"/>
      <w:pPr>
        <w:tabs>
          <w:tab w:val="num" w:pos="1134"/>
        </w:tabs>
      </w:pPr>
      <w:rPr>
        <w:rFonts w:ascii="Symbol" w:hAnsi="Symbol"/>
      </w:rPr>
    </w:lvl>
  </w:abstractNum>
  <w:abstractNum w:abstractNumId="6" w15:restartNumberingAfterBreak="0">
    <w:nsid w:val="1F843CAC"/>
    <w:multiLevelType w:val="hybridMultilevel"/>
    <w:tmpl w:val="DA860666"/>
    <w:lvl w:ilvl="0" w:tplc="2856BA34">
      <w:start w:val="5"/>
      <w:numFmt w:val="bullet"/>
      <w:lvlText w:val=""/>
      <w:lvlJc w:val="left"/>
      <w:pPr>
        <w:tabs>
          <w:tab w:val="num" w:pos="1162"/>
        </w:tabs>
        <w:ind w:left="1162" w:hanging="454"/>
      </w:pPr>
      <w:rPr>
        <w:rFonts w:ascii="Symbol" w:hAnsi="Symbol" w:hint="default"/>
        <w:sz w:val="22"/>
        <w:szCs w:val="22"/>
      </w:rPr>
    </w:lvl>
    <w:lvl w:ilvl="1" w:tplc="66FA01C4">
      <w:start w:val="5"/>
      <w:numFmt w:val="bullet"/>
      <w:lvlText w:val=""/>
      <w:lvlJc w:val="left"/>
      <w:pPr>
        <w:tabs>
          <w:tab w:val="num" w:pos="2015"/>
        </w:tabs>
        <w:ind w:left="2015" w:hanging="397"/>
      </w:pPr>
      <w:rPr>
        <w:rFonts w:ascii="Symbol" w:hAnsi="Symbol" w:hint="default"/>
        <w:sz w:val="16"/>
        <w:szCs w:val="16"/>
      </w:rPr>
    </w:lvl>
    <w:lvl w:ilvl="2" w:tplc="040C0005">
      <w:start w:val="1"/>
      <w:numFmt w:val="bullet"/>
      <w:lvlText w:val=""/>
      <w:lvlJc w:val="left"/>
      <w:pPr>
        <w:tabs>
          <w:tab w:val="num" w:pos="2698"/>
        </w:tabs>
        <w:ind w:left="269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18"/>
        </w:tabs>
        <w:ind w:left="341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38"/>
        </w:tabs>
        <w:ind w:left="413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58"/>
        </w:tabs>
        <w:ind w:left="485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578"/>
        </w:tabs>
        <w:ind w:left="557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298"/>
        </w:tabs>
        <w:ind w:left="629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18"/>
        </w:tabs>
        <w:ind w:left="7018" w:hanging="360"/>
      </w:pPr>
      <w:rPr>
        <w:rFonts w:ascii="Wingdings" w:hAnsi="Wingdings" w:hint="default"/>
      </w:rPr>
    </w:lvl>
  </w:abstractNum>
  <w:abstractNum w:abstractNumId="7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5A9012B"/>
    <w:multiLevelType w:val="hybridMultilevel"/>
    <w:tmpl w:val="FB9E80E8"/>
    <w:lvl w:ilvl="0" w:tplc="726C1308">
      <w:start w:val="1"/>
      <w:numFmt w:val="bullet"/>
      <w:lvlText w:val=""/>
      <w:lvlJc w:val="left"/>
      <w:pPr>
        <w:tabs>
          <w:tab w:val="num" w:pos="1616"/>
        </w:tabs>
        <w:ind w:left="1616" w:hanging="454"/>
      </w:pPr>
      <w:rPr>
        <w:rFonts w:ascii="Symbol" w:hAnsi="Symbol" w:hint="default"/>
        <w:sz w:val="16"/>
        <w:szCs w:val="22"/>
      </w:rPr>
    </w:lvl>
    <w:lvl w:ilvl="1" w:tplc="66FA01C4">
      <w:start w:val="5"/>
      <w:numFmt w:val="bullet"/>
      <w:lvlText w:val=""/>
      <w:lvlJc w:val="left"/>
      <w:pPr>
        <w:tabs>
          <w:tab w:val="num" w:pos="2469"/>
        </w:tabs>
        <w:ind w:left="2469" w:hanging="397"/>
      </w:pPr>
      <w:rPr>
        <w:rFonts w:ascii="Symbol" w:hAnsi="Symbol" w:hint="default"/>
        <w:sz w:val="16"/>
        <w:szCs w:val="16"/>
      </w:rPr>
    </w:lvl>
    <w:lvl w:ilvl="2" w:tplc="040C0005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9" w15:restartNumberingAfterBreak="0">
    <w:nsid w:val="29D22A7C"/>
    <w:multiLevelType w:val="hybridMultilevel"/>
    <w:tmpl w:val="0972CDBA"/>
    <w:lvl w:ilvl="0" w:tplc="9FD8CD2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377B29AA"/>
    <w:multiLevelType w:val="hybridMultilevel"/>
    <w:tmpl w:val="184426C2"/>
    <w:lvl w:ilvl="0" w:tplc="A6E8C5B6">
      <w:start w:val="5"/>
      <w:numFmt w:val="bullet"/>
      <w:lvlText w:val=""/>
      <w:lvlJc w:val="left"/>
      <w:pPr>
        <w:tabs>
          <w:tab w:val="num" w:pos="1162"/>
        </w:tabs>
        <w:ind w:left="1162" w:hanging="454"/>
      </w:pPr>
      <w:rPr>
        <w:rFonts w:ascii="Symbol" w:hAnsi="Symbol" w:hint="default"/>
        <w:sz w:val="22"/>
        <w:szCs w:val="22"/>
      </w:rPr>
    </w:lvl>
    <w:lvl w:ilvl="1" w:tplc="66FA01C4">
      <w:start w:val="5"/>
      <w:numFmt w:val="bullet"/>
      <w:lvlText w:val=""/>
      <w:lvlJc w:val="left"/>
      <w:pPr>
        <w:tabs>
          <w:tab w:val="num" w:pos="2015"/>
        </w:tabs>
        <w:ind w:left="2015" w:hanging="397"/>
      </w:pPr>
      <w:rPr>
        <w:rFonts w:ascii="Symbol" w:hAnsi="Symbol" w:hint="default"/>
        <w:sz w:val="16"/>
        <w:szCs w:val="16"/>
      </w:rPr>
    </w:lvl>
    <w:lvl w:ilvl="2" w:tplc="040C0005">
      <w:start w:val="1"/>
      <w:numFmt w:val="bullet"/>
      <w:lvlText w:val=""/>
      <w:lvlJc w:val="left"/>
      <w:pPr>
        <w:tabs>
          <w:tab w:val="num" w:pos="2698"/>
        </w:tabs>
        <w:ind w:left="269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18"/>
        </w:tabs>
        <w:ind w:left="341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38"/>
        </w:tabs>
        <w:ind w:left="413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58"/>
        </w:tabs>
        <w:ind w:left="485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578"/>
        </w:tabs>
        <w:ind w:left="557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298"/>
        </w:tabs>
        <w:ind w:left="629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18"/>
        </w:tabs>
        <w:ind w:left="7018" w:hanging="360"/>
      </w:pPr>
      <w:rPr>
        <w:rFonts w:ascii="Wingdings" w:hAnsi="Wingdings" w:hint="default"/>
      </w:rPr>
    </w:lvl>
  </w:abstractNum>
  <w:abstractNum w:abstractNumId="12" w15:restartNumberingAfterBreak="0">
    <w:nsid w:val="39EC4109"/>
    <w:multiLevelType w:val="hybridMultilevel"/>
    <w:tmpl w:val="918E5E96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1921A79"/>
    <w:multiLevelType w:val="hybridMultilevel"/>
    <w:tmpl w:val="83C81A90"/>
    <w:lvl w:ilvl="0" w:tplc="6322AAE6">
      <w:start w:val="1"/>
      <w:numFmt w:val="bullet"/>
      <w:lvlText w:val=""/>
      <w:lvlJc w:val="left"/>
      <w:pPr>
        <w:tabs>
          <w:tab w:val="num" w:pos="339"/>
        </w:tabs>
        <w:ind w:left="1332" w:hanging="283"/>
      </w:pPr>
      <w:rPr>
        <w:rFonts w:ascii="Symbol" w:hAnsi="Symbol" w:hint="default"/>
        <w:color w:val="auto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FE6068"/>
    <w:multiLevelType w:val="hybridMultilevel"/>
    <w:tmpl w:val="64FC8DAC"/>
    <w:lvl w:ilvl="0" w:tplc="726C1308">
      <w:start w:val="1"/>
      <w:numFmt w:val="bullet"/>
      <w:lvlText w:val=""/>
      <w:lvlJc w:val="left"/>
      <w:pPr>
        <w:tabs>
          <w:tab w:val="num" w:pos="1353"/>
        </w:tabs>
        <w:ind w:left="1333" w:hanging="34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093"/>
        </w:tabs>
        <w:ind w:left="209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13"/>
        </w:tabs>
        <w:ind w:left="28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33"/>
        </w:tabs>
        <w:ind w:left="35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53"/>
        </w:tabs>
        <w:ind w:left="425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73"/>
        </w:tabs>
        <w:ind w:left="49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93"/>
        </w:tabs>
        <w:ind w:left="56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13"/>
        </w:tabs>
        <w:ind w:left="641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33"/>
        </w:tabs>
        <w:ind w:left="7133" w:hanging="360"/>
      </w:pPr>
      <w:rPr>
        <w:rFonts w:ascii="Wingdings" w:hAnsi="Wingdings" w:hint="default"/>
      </w:rPr>
    </w:lvl>
  </w:abstractNum>
  <w:abstractNum w:abstractNumId="15" w15:restartNumberingAfterBreak="0">
    <w:nsid w:val="62BC2248"/>
    <w:multiLevelType w:val="hybridMultilevel"/>
    <w:tmpl w:val="7DEADA74"/>
    <w:lvl w:ilvl="0" w:tplc="2856BA34">
      <w:start w:val="5"/>
      <w:numFmt w:val="bullet"/>
      <w:lvlText w:val=""/>
      <w:lvlJc w:val="left"/>
      <w:pPr>
        <w:tabs>
          <w:tab w:val="num" w:pos="1162"/>
        </w:tabs>
        <w:ind w:left="1162" w:hanging="454"/>
      </w:pPr>
      <w:rPr>
        <w:rFonts w:ascii="Symbol" w:hAnsi="Symbol" w:hint="default"/>
        <w:sz w:val="22"/>
        <w:szCs w:val="22"/>
      </w:rPr>
    </w:lvl>
    <w:lvl w:ilvl="1" w:tplc="66FA01C4">
      <w:start w:val="5"/>
      <w:numFmt w:val="bullet"/>
      <w:lvlText w:val=""/>
      <w:lvlJc w:val="left"/>
      <w:pPr>
        <w:tabs>
          <w:tab w:val="num" w:pos="2015"/>
        </w:tabs>
        <w:ind w:left="2015" w:hanging="397"/>
      </w:pPr>
      <w:rPr>
        <w:rFonts w:ascii="Symbol" w:hAnsi="Symbol" w:hint="default"/>
        <w:sz w:val="16"/>
        <w:szCs w:val="16"/>
      </w:rPr>
    </w:lvl>
    <w:lvl w:ilvl="2" w:tplc="040C0005">
      <w:start w:val="1"/>
      <w:numFmt w:val="bullet"/>
      <w:lvlText w:val=""/>
      <w:lvlJc w:val="left"/>
      <w:pPr>
        <w:tabs>
          <w:tab w:val="num" w:pos="2698"/>
        </w:tabs>
        <w:ind w:left="269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18"/>
        </w:tabs>
        <w:ind w:left="341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38"/>
        </w:tabs>
        <w:ind w:left="413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58"/>
        </w:tabs>
        <w:ind w:left="485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578"/>
        </w:tabs>
        <w:ind w:left="557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298"/>
        </w:tabs>
        <w:ind w:left="629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18"/>
        </w:tabs>
        <w:ind w:left="7018" w:hanging="360"/>
      </w:pPr>
      <w:rPr>
        <w:rFonts w:ascii="Wingdings" w:hAnsi="Wingdings" w:hint="default"/>
      </w:rPr>
    </w:lvl>
  </w:abstractNum>
  <w:abstractNum w:abstractNumId="16" w15:restartNumberingAfterBreak="0">
    <w:nsid w:val="71E94DCC"/>
    <w:multiLevelType w:val="hybridMultilevel"/>
    <w:tmpl w:val="8E5E3432"/>
    <w:lvl w:ilvl="0" w:tplc="726C1308">
      <w:start w:val="1"/>
      <w:numFmt w:val="bullet"/>
      <w:lvlText w:val=""/>
      <w:lvlJc w:val="left"/>
      <w:pPr>
        <w:tabs>
          <w:tab w:val="num" w:pos="339"/>
        </w:tabs>
        <w:ind w:left="1332" w:hanging="283"/>
      </w:pPr>
      <w:rPr>
        <w:rFonts w:ascii="Symbol" w:hAnsi="Symbol" w:hint="default"/>
        <w:color w:val="auto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77E7BDB"/>
    <w:multiLevelType w:val="hybridMultilevel"/>
    <w:tmpl w:val="8CDC73B0"/>
    <w:lvl w:ilvl="0" w:tplc="9FD8CD2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3"/>
  </w:num>
  <w:num w:numId="5">
    <w:abstractNumId w:val="12"/>
  </w:num>
  <w:num w:numId="6">
    <w:abstractNumId w:val="9"/>
  </w:num>
  <w:num w:numId="7">
    <w:abstractNumId w:val="17"/>
  </w:num>
  <w:num w:numId="8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3544" w:hanging="283"/>
        </w:pPr>
        <w:rPr>
          <w:rFonts w:ascii="Symbol" w:hAnsi="Symbol" w:hint="default"/>
        </w:rPr>
      </w:lvl>
    </w:lvlOverride>
  </w:num>
  <w:num w:numId="9">
    <w:abstractNumId w:val="0"/>
    <w:lvlOverride w:ilvl="0">
      <w:lvl w:ilvl="0"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10">
    <w:abstractNumId w:val="4"/>
  </w:num>
  <w:num w:numId="11">
    <w:abstractNumId w:val="14"/>
  </w:num>
  <w:num w:numId="12">
    <w:abstractNumId w:val="2"/>
  </w:num>
  <w:num w:numId="13">
    <w:abstractNumId w:val="13"/>
  </w:num>
  <w:num w:numId="14">
    <w:abstractNumId w:val="5"/>
  </w:num>
  <w:num w:numId="15">
    <w:abstractNumId w:val="11"/>
  </w:num>
  <w:num w:numId="16">
    <w:abstractNumId w:val="6"/>
  </w:num>
  <w:num w:numId="17">
    <w:abstractNumId w:val="15"/>
  </w:num>
  <w:num w:numId="18">
    <w:abstractNumId w:val="6"/>
  </w:num>
  <w:num w:numId="19">
    <w:abstractNumId w:val="16"/>
  </w:num>
  <w:num w:numId="20">
    <w:abstractNumId w:val="8"/>
  </w:num>
  <w:num w:numId="21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2A0EC9EA-DCAB-48AC-AEF7-A4FADB82F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outlineLvl w:val="2"/>
    </w:pPr>
    <w:rPr>
      <w:rFonts w:ascii="Arial" w:eastAsia="MS Mincho" w:hAnsi="Arial"/>
      <w:b/>
      <w:bCs/>
      <w:color w:val="auto"/>
      <w:spacing w:val="0"/>
      <w:kern w:val="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Pr>
      <w:rFonts w:eastAsia="Times New Roman"/>
      <w:sz w:val="24"/>
      <w:szCs w:val="24"/>
      <w:lang w:val="fr-FR" w:eastAsia="ar-SA"/>
    </w:rPr>
  </w:style>
  <w:style w:type="character" w:customStyle="1" w:styleId="Titre2Car">
    <w:name w:val="Titre 2 Car"/>
    <w:link w:val="Titre2"/>
    <w:uiPriority w:val="99"/>
    <w:locked/>
    <w:rPr>
      <w:rFonts w:ascii="Times New Roman" w:hAnsi="Times New Roman"/>
      <w:b/>
      <w:bCs/>
      <w:lang w:val="fr-FR" w:eastAsia="ar-SA"/>
    </w:rPr>
  </w:style>
  <w:style w:type="character" w:customStyle="1" w:styleId="Titre3Car">
    <w:name w:val="Titre 3 Car"/>
    <w:link w:val="Titre3"/>
    <w:uiPriority w:val="99"/>
    <w:locked/>
    <w:rPr>
      <w:rFonts w:ascii="Arial" w:eastAsia="MS Mincho" w:hAnsi="Arial" w:cs="Tahoma"/>
      <w:b/>
      <w:bCs/>
      <w:sz w:val="28"/>
      <w:szCs w:val="28"/>
      <w:lang w:val="fr-FR" w:eastAsia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link w:val="En-tte"/>
    <w:uiPriority w:val="99"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link w:val="Pieddepage"/>
    <w:uiPriority w:val="99"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NormalWeb">
    <w:name w:val="Normal (Web)"/>
    <w:basedOn w:val="Normal"/>
    <w:uiPriority w:val="99"/>
    <w:pPr>
      <w:suppressAutoHyphens w:val="0"/>
      <w:spacing w:before="100" w:beforeAutospacing="1" w:after="100" w:afterAutospacing="1"/>
    </w:pPr>
    <w:rPr>
      <w:sz w:val="24"/>
      <w:szCs w:val="24"/>
      <w:lang w:val="fr-BE" w:eastAsia="fr-BE"/>
    </w:rPr>
  </w:style>
  <w:style w:type="paragraph" w:styleId="Titre">
    <w:name w:val="Title"/>
    <w:basedOn w:val="Normal"/>
    <w:next w:val="Normal"/>
    <w:link w:val="TitreCar"/>
    <w:uiPriority w:val="99"/>
    <w:qFormat/>
    <w:pPr>
      <w:pBdr>
        <w:bottom w:val="single" w:sz="8" w:space="4" w:color="4F81BD"/>
      </w:pBdr>
      <w:spacing w:after="300"/>
    </w:pPr>
    <w:rPr>
      <w:rFonts w:ascii="Cambria" w:eastAsia="Calibri" w:hAnsi="Cambria"/>
      <w:color w:val="17365D"/>
      <w:spacing w:val="5"/>
      <w:kern w:val="28"/>
      <w:sz w:val="52"/>
    </w:rPr>
  </w:style>
  <w:style w:type="character" w:customStyle="1" w:styleId="TitreCar">
    <w:name w:val="Titre Car"/>
    <w:link w:val="Titre"/>
    <w:uiPriority w:val="99"/>
    <w:locked/>
    <w:rPr>
      <w:rFonts w:ascii="Cambria" w:hAnsi="Cambria" w:cs="Times New Roman"/>
      <w:color w:val="17365D"/>
      <w:spacing w:val="5"/>
      <w:kern w:val="28"/>
      <w:sz w:val="52"/>
      <w:lang w:val="fr-FR" w:eastAsia="ar-SA" w:bidi="ar-SA"/>
    </w:rPr>
  </w:style>
  <w:style w:type="paragraph" w:styleId="Corpsdetexte">
    <w:name w:val="Body Text"/>
    <w:basedOn w:val="Normal"/>
    <w:link w:val="CorpsdetexteCar"/>
    <w:uiPriority w:val="99"/>
    <w:semiHidden/>
    <w:pPr>
      <w:spacing w:after="120"/>
    </w:pPr>
    <w:rPr>
      <w:rFonts w:eastAsia="Calibri"/>
    </w:rPr>
  </w:style>
  <w:style w:type="character" w:customStyle="1" w:styleId="CorpsdetexteCar">
    <w:name w:val="Corps de texte Car"/>
    <w:link w:val="Corpsdetexte"/>
    <w:uiPriority w:val="99"/>
    <w:semiHidden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eastAsia="Calibri" w:hAnsi="Tahoma"/>
      <w:sz w:val="16"/>
    </w:rPr>
  </w:style>
  <w:style w:type="character" w:customStyle="1" w:styleId="TextedebullesCar">
    <w:name w:val="Texte de bulles Car"/>
    <w:link w:val="Textedebulles"/>
    <w:uiPriority w:val="99"/>
    <w:semiHidden/>
    <w:locked/>
    <w:rPr>
      <w:rFonts w:ascii="Tahoma" w:hAnsi="Tahoma" w:cs="Times New Roman"/>
      <w:sz w:val="16"/>
      <w:lang w:val="fr-FR" w:eastAsia="ar-SA" w:bidi="ar-SA"/>
    </w:rPr>
  </w:style>
  <w:style w:type="paragraph" w:styleId="Paragraphedeliste">
    <w:name w:val="List Paragraph"/>
    <w:basedOn w:val="Normal"/>
    <w:uiPriority w:val="99"/>
    <w:qFormat/>
    <w:pPr>
      <w:ind w:left="720"/>
    </w:pPr>
  </w:style>
  <w:style w:type="paragraph" w:styleId="Retraitcorpsdetexte">
    <w:name w:val="Body Text Indent"/>
    <w:basedOn w:val="Normal"/>
    <w:link w:val="RetraitcorpsdetexteCar"/>
    <w:uiPriority w:val="99"/>
    <w:pPr>
      <w:spacing w:after="120"/>
      <w:ind w:left="283"/>
    </w:pPr>
    <w:rPr>
      <w:rFonts w:eastAsia="Calibri"/>
    </w:rPr>
  </w:style>
  <w:style w:type="character" w:customStyle="1" w:styleId="RetraitcorpsdetexteCar">
    <w:name w:val="Retrait corps de texte Car"/>
    <w:link w:val="Retraitcorpsdetexte"/>
    <w:uiPriority w:val="99"/>
    <w:semiHidden/>
    <w:locked/>
    <w:rPr>
      <w:rFonts w:ascii="Times New Roman" w:hAnsi="Times New Roman" w:cs="Times New Roman"/>
      <w:sz w:val="20"/>
      <w:lang w:val="fr-FR" w:eastAsia="ar-SA" w:bidi="ar-SA"/>
    </w:rPr>
  </w:style>
  <w:style w:type="paragraph" w:customStyle="1" w:styleId="normal01">
    <w:name w:val="normal01"/>
    <w:basedOn w:val="Normal"/>
    <w:uiPriority w:val="99"/>
    <w:pPr>
      <w:widowControl w:val="0"/>
      <w:spacing w:line="240" w:lineRule="atLeast"/>
    </w:pPr>
    <w:rPr>
      <w:rFonts w:eastAsia="Calibri"/>
      <w:sz w:val="22"/>
    </w:rPr>
  </w:style>
  <w:style w:type="paragraph" w:customStyle="1" w:styleId="Normaltxtdosped">
    <w:name w:val="Normal.txtdosped"/>
    <w:uiPriority w:val="99"/>
    <w:pPr>
      <w:autoSpaceDE w:val="0"/>
      <w:autoSpaceDN w:val="0"/>
    </w:pPr>
    <w:rPr>
      <w:rFonts w:ascii="Times New Roman" w:eastAsia="Times New Roman" w:hAnsi="Times New Roman"/>
      <w:lang w:val="fr-FR" w:eastAsia="fr-FR"/>
    </w:rPr>
  </w:style>
  <w:style w:type="character" w:styleId="Titredulivre">
    <w:name w:val="Book Title"/>
    <w:basedOn w:val="Policepardfaut"/>
    <w:uiPriority w:val="33"/>
    <w:qFormat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9363288286414A8472BDCFC2138D56" ma:contentTypeVersion="9" ma:contentTypeDescription="Create a new document." ma:contentTypeScope="" ma:versionID="f7fcc5a39c7b183b4c80eba1092540c3">
  <xsd:schema xmlns:xsd="http://www.w3.org/2001/XMLSchema" xmlns:xs="http://www.w3.org/2001/XMLSchema" xmlns:p="http://schemas.microsoft.com/office/2006/metadata/properties" xmlns:ns2="36a5bde4-2b22-4d21-bb03-451645d32047" xmlns:ns3="f3b8a696-58b9-4e40-967e-6a2429643145" targetNamespace="http://schemas.microsoft.com/office/2006/metadata/properties" ma:root="true" ma:fieldsID="e0d05506e4a4454a5961c1615adec4a3" ns2:_="" ns3:_="">
    <xsd:import namespace="36a5bde4-2b22-4d21-bb03-451645d32047"/>
    <xsd:import namespace="f3b8a696-58b9-4e40-967e-6a24296431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5bde4-2b22-4d21-bb03-451645d32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a696-58b9-4e40-967e-6a24296431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8CC31D-AE5F-4262-BBCF-B5453E76D3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64EB52-BBFD-49FF-9F22-A70274AF1E95}"/>
</file>

<file path=customXml/itemProps3.xml><?xml version="1.0" encoding="utf-8"?>
<ds:datastoreItem xmlns:ds="http://schemas.openxmlformats.org/officeDocument/2006/customXml" ds:itemID="{624DFDA3-8E8C-4E44-894F-8C41C96218B4}"/>
</file>

<file path=customXml/itemProps4.xml><?xml version="1.0" encoding="utf-8"?>
<ds:datastoreItem xmlns:ds="http://schemas.openxmlformats.org/officeDocument/2006/customXml" ds:itemID="{C21999B5-7DAD-4D9D-8B8D-9349D252D6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906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Institut Ferdinand Cocq Ixelles</Company>
  <LinksUpToDate>false</LinksUpToDate>
  <CharactersWithSpaces>5883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christiane</dc:creator>
  <cp:lastModifiedBy>goulet02</cp:lastModifiedBy>
  <cp:revision>9</cp:revision>
  <dcterms:created xsi:type="dcterms:W3CDTF">2016-04-28T08:33:00Z</dcterms:created>
  <dcterms:modified xsi:type="dcterms:W3CDTF">2017-08-18T07:36:00Z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0x0101008C9363288286414A8472BDCFC2138D56</vt:lpwstr>
  </property>
</Properties>
</file>