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>
      <w:pPr>
        <w:pStyle w:val="Texte"/>
        <w:rPr>
          <w:rFonts w:ascii="Times New Roman" w:hAnsi="Times New Roman"/>
          <w:noProof w:val="0"/>
        </w:rPr>
      </w:pPr>
    </w:p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GESTIONNAIRE DE BASE DE DONNEES – NIVEAU ELEMENTAIRE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   754401U21D3         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proofErr w:type="gramStart"/>
      <w:r>
        <w:rPr>
          <w:b/>
          <w:sz w:val="22"/>
        </w:rPr>
        <w:t>sur</w:t>
      </w:r>
      <w:proofErr w:type="gramEnd"/>
      <w:r>
        <w:rPr>
          <w:b/>
          <w:sz w:val="22"/>
        </w:rPr>
        <w:t xml:space="preserve"> avis conforme de la Commission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 xml:space="preserve">INFORMATIQUE : GESTIONNAIRE DE BASE DE DONNEES – NIVEAU ELEMENTAIRE 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L'unité d'enseignement vise à permettre à l’étudiant :</w:t>
      </w:r>
    </w:p>
    <w:p>
      <w:pPr>
        <w:ind w:left="851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145"/>
        </w:tabs>
        <w:ind w:left="1145"/>
        <w:rPr>
          <w:sz w:val="22"/>
        </w:rPr>
      </w:pPr>
      <w:r>
        <w:rPr>
          <w:sz w:val="22"/>
        </w:rPr>
        <w:t>de s'initier aux techniques et connaissances nécessaires à l'utilisation des systèmes informatiques spécifiquement en ce qui concerne les logiciels de type gestionnaire de base de données ;</w:t>
      </w:r>
    </w:p>
    <w:p>
      <w:pPr>
        <w:numPr>
          <w:ilvl w:val="0"/>
          <w:numId w:val="4"/>
        </w:numPr>
        <w:tabs>
          <w:tab w:val="clear" w:pos="360"/>
          <w:tab w:val="num" w:pos="1145"/>
        </w:tabs>
        <w:ind w:left="1145"/>
        <w:rPr>
          <w:sz w:val="22"/>
        </w:rPr>
      </w:pPr>
      <w:r>
        <w:rPr>
          <w:sz w:val="22"/>
        </w:rPr>
        <w:t>de résoudre rapidement des problèmes de gestion d’informations ;</w:t>
      </w:r>
    </w:p>
    <w:p>
      <w:pPr>
        <w:numPr>
          <w:ilvl w:val="0"/>
          <w:numId w:val="4"/>
        </w:numPr>
        <w:tabs>
          <w:tab w:val="clear" w:pos="360"/>
          <w:tab w:val="num" w:pos="1145"/>
        </w:tabs>
        <w:ind w:left="1145"/>
        <w:rPr>
          <w:sz w:val="22"/>
        </w:rPr>
      </w:pPr>
      <w:r>
        <w:rPr>
          <w:sz w:val="22"/>
        </w:rPr>
        <w:t>de consigner correctement l’analyse et les mises à jour effectuées ;</w:t>
      </w:r>
    </w:p>
    <w:p>
      <w:pPr>
        <w:numPr>
          <w:ilvl w:val="0"/>
          <w:numId w:val="4"/>
        </w:numPr>
        <w:tabs>
          <w:tab w:val="clear" w:pos="360"/>
          <w:tab w:val="num" w:pos="1145"/>
        </w:tabs>
        <w:ind w:left="1145"/>
        <w:rPr>
          <w:sz w:val="22"/>
        </w:rPr>
      </w:pPr>
      <w:r>
        <w:rPr>
          <w:sz w:val="22"/>
        </w:rPr>
        <w:t>de répondre de manière raisonnée à l'informatisation par la compréhension des concepts mis en jeu ;</w:t>
      </w:r>
    </w:p>
    <w:p>
      <w:pPr>
        <w:numPr>
          <w:ilvl w:val="0"/>
          <w:numId w:val="4"/>
        </w:numPr>
        <w:tabs>
          <w:tab w:val="clear" w:pos="360"/>
          <w:tab w:val="num" w:pos="1145"/>
        </w:tabs>
        <w:ind w:left="1145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pStyle w:val="Retraitcorpsdetexte"/>
        <w:numPr>
          <w:ilvl w:val="0"/>
          <w:numId w:val="0"/>
        </w:numPr>
        <w:tabs>
          <w:tab w:val="clear" w:pos="-720"/>
        </w:tabs>
        <w:ind w:left="851"/>
      </w:pPr>
      <w:r>
        <w:t>L’étudiant sera capable :</w:t>
      </w: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b/>
          <w:sz w:val="22"/>
        </w:rPr>
      </w:pPr>
    </w:p>
    <w:p>
      <w:pPr>
        <w:numPr>
          <w:ilvl w:val="0"/>
          <w:numId w:val="5"/>
        </w:numPr>
        <w:spacing w:line="-240" w:lineRule="auto"/>
        <w:ind w:left="1276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5"/>
        </w:numPr>
        <w:spacing w:line="-240" w:lineRule="auto"/>
        <w:ind w:left="1276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5"/>
        </w:numPr>
        <w:spacing w:line="-240" w:lineRule="auto"/>
        <w:ind w:left="1276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 ;</w:t>
      </w:r>
    </w:p>
    <w:p>
      <w:pPr>
        <w:numPr>
          <w:ilvl w:val="0"/>
          <w:numId w:val="5"/>
        </w:numPr>
        <w:spacing w:line="-240" w:lineRule="auto"/>
        <w:ind w:left="1276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5"/>
        </w:numPr>
        <w:spacing w:line="-240" w:lineRule="auto"/>
        <w:ind w:left="1276"/>
        <w:rPr>
          <w:sz w:val="22"/>
        </w:rPr>
      </w:pPr>
      <w:r>
        <w:rPr>
          <w:sz w:val="22"/>
        </w:rPr>
        <w:t>de clôturer une session de travail.</w:t>
      </w:r>
    </w:p>
    <w:p>
      <w:pPr>
        <w:ind w:left="851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ind w:left="425"/>
        <w:jc w:val="both"/>
        <w:rPr>
          <w:b/>
          <w:sz w:val="22"/>
        </w:rPr>
      </w:pPr>
      <w:r>
        <w:rPr>
          <w:b/>
          <w:i/>
          <w:sz w:val="22"/>
        </w:rPr>
        <w:br w:type="page"/>
      </w:r>
      <w:r>
        <w:rPr>
          <w:b/>
          <w:sz w:val="22"/>
        </w:rPr>
        <w:lastRenderedPageBreak/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l'unité d'enseignement « INFORMATIQUE : INTRODUCTION A L’INFORMATIQUE ».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780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ind w:left="496"/>
        <w:jc w:val="both"/>
        <w:rPr>
          <w:sz w:val="22"/>
        </w:rPr>
      </w:pP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face à un système informatique connu, sur lequel est installé le logiciel qui a servi à l'apprentissage,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ind w:left="496"/>
        <w:jc w:val="both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216"/>
        </w:tabs>
        <w:ind w:left="1216"/>
        <w:rPr>
          <w:sz w:val="22"/>
        </w:rPr>
      </w:pPr>
      <w:r>
        <w:rPr>
          <w:sz w:val="22"/>
        </w:rPr>
        <w:t>de réaliser l’analyse de la situation ;</w:t>
      </w:r>
    </w:p>
    <w:p>
      <w:pPr>
        <w:numPr>
          <w:ilvl w:val="0"/>
          <w:numId w:val="6"/>
        </w:numPr>
        <w:tabs>
          <w:tab w:val="clear" w:pos="360"/>
          <w:tab w:val="num" w:pos="1216"/>
        </w:tabs>
        <w:ind w:left="1216"/>
        <w:rPr>
          <w:sz w:val="22"/>
        </w:rPr>
      </w:pPr>
      <w:r>
        <w:rPr>
          <w:sz w:val="22"/>
        </w:rPr>
        <w:t>de construire la structure de la base de données, de la compléter, de visualiser le contenu, de modifier et de supprimer des enregistrements ;</w:t>
      </w:r>
    </w:p>
    <w:p>
      <w:pPr>
        <w:numPr>
          <w:ilvl w:val="0"/>
          <w:numId w:val="6"/>
        </w:numPr>
        <w:tabs>
          <w:tab w:val="clear" w:pos="360"/>
          <w:tab w:val="num" w:pos="1216"/>
        </w:tabs>
        <w:ind w:left="1216"/>
        <w:rPr>
          <w:sz w:val="22"/>
        </w:rPr>
      </w:pPr>
      <w:r>
        <w:rPr>
          <w:sz w:val="22"/>
        </w:rPr>
        <w:t>de construire des requêtes ;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de créer des formulaires ;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de concevoir des états ;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de réaliser le backup de la base de données.</w:t>
      </w:r>
    </w:p>
    <w:p>
      <w:pPr>
        <w:tabs>
          <w:tab w:val="left" w:pos="426"/>
        </w:tabs>
        <w:ind w:left="496"/>
        <w:jc w:val="both"/>
        <w:rPr>
          <w:sz w:val="22"/>
        </w:rPr>
      </w:pPr>
    </w:p>
    <w:p>
      <w:pPr>
        <w:pStyle w:val="Corpsdetexte2"/>
        <w:ind w:left="780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780"/>
      </w:pP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le choix des techniques,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la qualité de la structure de la base de données,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6"/>
        </w:numPr>
        <w:tabs>
          <w:tab w:val="clear" w:pos="360"/>
          <w:tab w:val="num" w:pos="1080"/>
          <w:tab w:val="num" w:pos="1216"/>
        </w:tabs>
        <w:ind w:left="1216"/>
        <w:rPr>
          <w:sz w:val="22"/>
        </w:rPr>
      </w:pPr>
      <w:r>
        <w:rPr>
          <w:sz w:val="22"/>
        </w:rPr>
        <w:t>le respect du temps alloué.</w:t>
      </w:r>
    </w:p>
    <w:p>
      <w:pPr>
        <w:tabs>
          <w:tab w:val="num" w:pos="1080"/>
        </w:tabs>
        <w:rPr>
          <w:sz w:val="22"/>
        </w:rPr>
      </w:pPr>
    </w:p>
    <w:p>
      <w:pPr>
        <w:tabs>
          <w:tab w:val="num" w:pos="1080"/>
        </w:tabs>
        <w:rPr>
          <w:sz w:val="22"/>
        </w:rPr>
      </w:pPr>
    </w:p>
    <w:p>
      <w:pPr>
        <w:tabs>
          <w:tab w:val="num" w:pos="1080"/>
        </w:tabs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780"/>
        <w:rPr>
          <w:sz w:val="22"/>
        </w:rPr>
      </w:pPr>
      <w:r>
        <w:rPr>
          <w:sz w:val="22"/>
        </w:rPr>
        <w:t>L’étudiant sera capable :</w:t>
      </w:r>
    </w:p>
    <w:p>
      <w:pPr>
        <w:ind w:left="354"/>
        <w:rPr>
          <w:sz w:val="22"/>
        </w:rPr>
      </w:pPr>
    </w:p>
    <w:p>
      <w:pPr>
        <w:ind w:left="780"/>
        <w:rPr>
          <w:i/>
          <w:sz w:val="22"/>
        </w:rPr>
      </w:pPr>
      <w:r>
        <w:rPr>
          <w:i/>
          <w:sz w:val="22"/>
        </w:rPr>
        <w:t>à partir de mises en situation simples et dans le cadre de l’observation d’un système d’informations,</w:t>
      </w:r>
    </w:p>
    <w:p>
      <w:pPr>
        <w:ind w:left="354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d’identifier les tâches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d’inventorier les données nécessaires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d'établir une dépendance fonctionnelle élémentaire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d'établir une dépendance fonctionnelle à partie gauche composée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distinguer et de schématiser une entité (identifiant et attributs)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schématiser une association/relation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de préciser le type d'association/relation parmi les suivantes: </w:t>
      </w:r>
      <w:r>
        <w:rPr>
          <w:sz w:val="22"/>
        </w:rPr>
        <w:sym w:font="Symbol" w:char="F05B"/>
      </w:r>
      <w:r>
        <w:rPr>
          <w:sz w:val="22"/>
        </w:rPr>
        <w:t>0,1</w:t>
      </w:r>
      <w:r>
        <w:rPr>
          <w:sz w:val="22"/>
        </w:rPr>
        <w:sym w:font="Symbol" w:char="F05D"/>
      </w:r>
      <w:r>
        <w:rPr>
          <w:sz w:val="22"/>
        </w:rPr>
        <w:t xml:space="preserve"> - </w:t>
      </w:r>
      <w:r>
        <w:rPr>
          <w:sz w:val="22"/>
        </w:rPr>
        <w:sym w:font="Symbol" w:char="F05B"/>
      </w:r>
      <w:r>
        <w:rPr>
          <w:sz w:val="22"/>
        </w:rPr>
        <w:t>0,n</w:t>
      </w:r>
      <w:r>
        <w:rPr>
          <w:sz w:val="22"/>
        </w:rPr>
        <w:sym w:font="Symbol" w:char="F05D"/>
      </w:r>
      <w:r>
        <w:rPr>
          <w:sz w:val="22"/>
        </w:rPr>
        <w:t xml:space="preserve"> - </w:t>
      </w:r>
      <w:r>
        <w:rPr>
          <w:sz w:val="22"/>
        </w:rPr>
        <w:sym w:font="Symbol" w:char="F05B"/>
      </w:r>
      <w:r>
        <w:rPr>
          <w:sz w:val="22"/>
        </w:rPr>
        <w:t>1,1</w:t>
      </w:r>
      <w:r>
        <w:rPr>
          <w:sz w:val="22"/>
        </w:rPr>
        <w:sym w:font="Symbol" w:char="F05D"/>
      </w:r>
      <w:r>
        <w:rPr>
          <w:sz w:val="22"/>
        </w:rPr>
        <w:t xml:space="preserve"> - </w:t>
      </w:r>
      <w:r>
        <w:rPr>
          <w:sz w:val="22"/>
        </w:rPr>
        <w:sym w:font="Symbol" w:char="F05B"/>
      </w:r>
      <w:r>
        <w:rPr>
          <w:sz w:val="22"/>
        </w:rPr>
        <w:t>1,n</w:t>
      </w:r>
      <w:r>
        <w:rPr>
          <w:sz w:val="22"/>
        </w:rPr>
        <w:sym w:font="Symbol" w:char="F05D"/>
      </w:r>
      <w:r>
        <w:rPr>
          <w:sz w:val="22"/>
        </w:rPr>
        <w:t xml:space="preserve"> ; </w:t>
      </w:r>
    </w:p>
    <w:p>
      <w:pPr>
        <w:ind w:left="354"/>
        <w:rPr>
          <w:sz w:val="22"/>
        </w:rPr>
      </w:pPr>
    </w:p>
    <w:p>
      <w:pPr>
        <w:ind w:left="780"/>
        <w:rPr>
          <w:i/>
          <w:sz w:val="22"/>
        </w:rPr>
      </w:pPr>
      <w:r>
        <w:rPr>
          <w:i/>
          <w:sz w:val="22"/>
        </w:rPr>
        <w:t>dans le cadre de la schématisation des tables de la base de données,</w:t>
      </w:r>
    </w:p>
    <w:p>
      <w:pPr>
        <w:ind w:left="354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passer du stade des entités et associations au stade des tables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d'identifier les clés primaires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déterminer le type de données qui alimentera les tables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synthétiser l’analyse sous forme écrite.</w:t>
      </w:r>
    </w:p>
    <w:p>
      <w:pPr>
        <w:ind w:left="780"/>
        <w:rPr>
          <w:sz w:val="22"/>
        </w:rPr>
      </w:pPr>
    </w:p>
    <w:p>
      <w:pPr>
        <w:ind w:left="780"/>
        <w:rPr>
          <w:i/>
          <w:sz w:val="22"/>
        </w:rPr>
      </w:pPr>
      <w:r>
        <w:rPr>
          <w:i/>
          <w:sz w:val="22"/>
        </w:rPr>
        <w:t>pour l'environnement du logiciel utilisé,</w:t>
      </w:r>
    </w:p>
    <w:p>
      <w:pPr>
        <w:ind w:left="354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d’identifier la présence du logiciel sur le matériel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lancer l'application et de la paramétrer dans le cadre d'une bonne ergonomie : gestion des fenêtres, menus, barres d'outils, espace de travail, …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d’utiliser une base de données existante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sauvegarder et de quitter l'application ;</w:t>
      </w:r>
    </w:p>
    <w:p>
      <w:pPr>
        <w:pStyle w:val="Corpsdetexte2"/>
        <w:ind w:left="354"/>
      </w:pPr>
    </w:p>
    <w:p>
      <w:pPr>
        <w:pStyle w:val="Corpsdetexte2"/>
        <w:ind w:left="780"/>
        <w:rPr>
          <w:i/>
        </w:rPr>
      </w:pPr>
      <w:r>
        <w:rPr>
          <w:i/>
        </w:rPr>
        <w:t>pour le gestionnaire de bases de données,</w:t>
      </w:r>
    </w:p>
    <w:p>
      <w:pPr>
        <w:pStyle w:val="Corpsdetexte2"/>
        <w:ind w:left="780"/>
        <w:rPr>
          <w:i/>
        </w:rPr>
      </w:pPr>
      <w:r>
        <w:rPr>
          <w:i/>
        </w:rPr>
        <w:t>en utilisant les commandes appropriées et à l’aide d’un dossier d’analyse,</w:t>
      </w:r>
    </w:p>
    <w:p>
      <w:pPr>
        <w:ind w:left="354"/>
        <w:jc w:val="both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créer les tables préalablement définies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définir à bon escient les types de données utilisés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d’intervenir sur les tables :</w:t>
      </w:r>
    </w:p>
    <w:p>
      <w:pPr>
        <w:numPr>
          <w:ilvl w:val="0"/>
          <w:numId w:val="7"/>
        </w:numPr>
        <w:tabs>
          <w:tab w:val="clear" w:pos="360"/>
          <w:tab w:val="num" w:pos="1434"/>
        </w:tabs>
        <w:ind w:left="1434"/>
        <w:rPr>
          <w:sz w:val="22"/>
        </w:rPr>
      </w:pPr>
      <w:r>
        <w:rPr>
          <w:sz w:val="22"/>
        </w:rPr>
        <w:t xml:space="preserve">visualiser le contenu total ou partiel ; </w:t>
      </w:r>
    </w:p>
    <w:p>
      <w:pPr>
        <w:numPr>
          <w:ilvl w:val="0"/>
          <w:numId w:val="7"/>
        </w:numPr>
        <w:tabs>
          <w:tab w:val="clear" w:pos="360"/>
          <w:tab w:val="num" w:pos="1434"/>
        </w:tabs>
        <w:ind w:left="1434"/>
        <w:rPr>
          <w:sz w:val="22"/>
        </w:rPr>
      </w:pPr>
      <w:r>
        <w:rPr>
          <w:sz w:val="22"/>
        </w:rPr>
        <w:t>ajouter des données ;</w:t>
      </w:r>
    </w:p>
    <w:p>
      <w:pPr>
        <w:numPr>
          <w:ilvl w:val="0"/>
          <w:numId w:val="7"/>
        </w:numPr>
        <w:tabs>
          <w:tab w:val="clear" w:pos="360"/>
          <w:tab w:val="num" w:pos="1434"/>
        </w:tabs>
        <w:ind w:left="1434"/>
        <w:rPr>
          <w:sz w:val="22"/>
        </w:rPr>
      </w:pPr>
      <w:r>
        <w:rPr>
          <w:sz w:val="22"/>
        </w:rPr>
        <w:t>supprimer des données ;</w:t>
      </w:r>
    </w:p>
    <w:p>
      <w:pPr>
        <w:numPr>
          <w:ilvl w:val="0"/>
          <w:numId w:val="7"/>
        </w:numPr>
        <w:tabs>
          <w:tab w:val="clear" w:pos="360"/>
          <w:tab w:val="num" w:pos="1434"/>
        </w:tabs>
        <w:ind w:left="1434"/>
        <w:rPr>
          <w:sz w:val="22"/>
        </w:rPr>
      </w:pPr>
      <w:r>
        <w:rPr>
          <w:sz w:val="22"/>
        </w:rPr>
        <w:t>modifier les données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de créer des index : </w:t>
      </w:r>
    </w:p>
    <w:p>
      <w:pPr>
        <w:numPr>
          <w:ilvl w:val="0"/>
          <w:numId w:val="7"/>
        </w:numPr>
        <w:tabs>
          <w:tab w:val="clear" w:pos="360"/>
          <w:tab w:val="num" w:pos="1074"/>
        </w:tabs>
        <w:ind w:left="1434"/>
        <w:rPr>
          <w:sz w:val="22"/>
        </w:rPr>
      </w:pPr>
      <w:r>
        <w:rPr>
          <w:sz w:val="22"/>
        </w:rPr>
        <w:t>index prescrits par le dossier d'analyse ( clés primaires ),</w:t>
      </w:r>
    </w:p>
    <w:p>
      <w:pPr>
        <w:numPr>
          <w:ilvl w:val="0"/>
          <w:numId w:val="7"/>
        </w:numPr>
        <w:tabs>
          <w:tab w:val="clear" w:pos="360"/>
          <w:tab w:val="num" w:pos="1074"/>
        </w:tabs>
        <w:ind w:left="1434"/>
        <w:rPr>
          <w:sz w:val="22"/>
        </w:rPr>
      </w:pPr>
      <w:r>
        <w:rPr>
          <w:sz w:val="22"/>
        </w:rPr>
        <w:t xml:space="preserve">index en vue d'accélérer les accès à l'information ; 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d’établir les liaisons entre les tables 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trier les enregistrements des tables selon un ou plusieurs critères d'ordonnancement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restructurer les tables et de mettre à jour le dossier d'analyse ;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de créer  différents types de requêtes ; 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de construire des formulaires et sous-formulaires pour des tables et des requêtes ; 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de générer et de modifier des états de sortie (listing, feuille A4, étiquettes, …) ; 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 xml:space="preserve">d’accéder à l'aide en ligne du logiciel et de consulter la documentation ;  </w:t>
      </w:r>
    </w:p>
    <w:p>
      <w:pPr>
        <w:numPr>
          <w:ilvl w:val="0"/>
          <w:numId w:val="6"/>
        </w:numPr>
        <w:tabs>
          <w:tab w:val="clear" w:pos="360"/>
          <w:tab w:val="num" w:pos="1074"/>
        </w:tabs>
        <w:ind w:left="1074"/>
        <w:rPr>
          <w:sz w:val="22"/>
        </w:rPr>
      </w:pPr>
      <w:r>
        <w:rPr>
          <w:sz w:val="22"/>
        </w:rPr>
        <w:t>de prévoir la sauvegarde (backup) de la base de données sur un support externe pour en assurer la pérennité.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9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</w:tr>
    </w:tbl>
    <w:p>
      <w:pPr>
        <w:tabs>
          <w:tab w:val="left" w:pos="284"/>
        </w:tabs>
        <w:jc w:val="both"/>
        <w:rPr>
          <w:sz w:val="22"/>
        </w:rPr>
      </w:pPr>
    </w:p>
    <w:sectPr>
      <w:footerReference w:type="default" r:id="rId7"/>
      <w:pgSz w:w="11906" w:h="16838"/>
      <w:pgMar w:top="1276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Base de données - Niveau élémentaire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28A73A44"/>
    <w:multiLevelType w:val="singleLevel"/>
    <w:tmpl w:val="ECA05F1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4" w15:restartNumberingAfterBreak="0">
    <w:nsid w:val="3B8E7C6C"/>
    <w:multiLevelType w:val="hybridMultilevel"/>
    <w:tmpl w:val="0F28B67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C506D"/>
    <w:multiLevelType w:val="hybridMultilevel"/>
    <w:tmpl w:val="0AA6F508"/>
    <w:lvl w:ilvl="0" w:tplc="C784A95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C1766"/>
    <w:multiLevelType w:val="hybridMultilevel"/>
    <w:tmpl w:val="7F4C2CC0"/>
    <w:lvl w:ilvl="0" w:tplc="6D720DA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556DE"/>
    <w:multiLevelType w:val="singleLevel"/>
    <w:tmpl w:val="8D72C1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8" w15:restartNumberingAfterBreak="0">
    <w:nsid w:val="7998077A"/>
    <w:multiLevelType w:val="singleLevel"/>
    <w:tmpl w:val="8D72C1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24A3EA6-BCDB-47D3-9182-148596A7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E3865-23F6-4AB3-9C26-E820143CB461}"/>
</file>

<file path=customXml/itemProps2.xml><?xml version="1.0" encoding="utf-8"?>
<ds:datastoreItem xmlns:ds="http://schemas.openxmlformats.org/officeDocument/2006/customXml" ds:itemID="{3CA6DB4F-5A31-44FF-AD56-4BBB509F6C53}"/>
</file>

<file path=customXml/itemProps3.xml><?xml version="1.0" encoding="utf-8"?>
<ds:datastoreItem xmlns:ds="http://schemas.openxmlformats.org/officeDocument/2006/customXml" ds:itemID="{9C3430D1-BC63-47DB-A456-B239FA93322D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3</TotalTime>
  <Pages>4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5</cp:revision>
  <cp:lastPrinted>2002-04-23T08:20:00Z</cp:lastPrinted>
  <dcterms:created xsi:type="dcterms:W3CDTF">2017-03-08T13:07:00Z</dcterms:created>
  <dcterms:modified xsi:type="dcterms:W3CDTF">2017-05-22T11:07:00Z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