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sz w:val="22"/>
        </w:rPr>
      </w:pPr>
      <w:r>
        <w:rPr>
          <w:rFonts w:ascii="Times New Roman" w:hAnsi="Times New Roman"/>
          <w:b/>
          <w:sz w:val="22"/>
        </w:rPr>
        <w:t xml:space="preserve">MINISTERE DE </w:t>
      </w:r>
      <w:smartTag w:uri="urn:schemas-microsoft-com:office:smarttags" w:element="PersonName">
        <w:smartTagPr>
          <w:attr w:name="ProductID" w:val="LA COMMUNAUTE FRANCAISE"/>
        </w:smartTagPr>
        <w:r>
          <w:rPr>
            <w:rFonts w:ascii="Times New Roman" w:hAnsi="Times New Roman"/>
            <w:b/>
            <w:sz w:val="22"/>
          </w:rPr>
          <w:t>LA COMMUNAUTE FRANCAISE</w:t>
        </w:r>
      </w:smartTag>
    </w:p>
    <w:p>
      <w:pPr>
        <w:pStyle w:val="Texte"/>
        <w:jc w:val="center"/>
        <w:rPr>
          <w:rFonts w:ascii="Times New Roman" w:hAnsi="Times New Roman"/>
          <w:b/>
          <w:sz w:val="22"/>
          <w:lang w:val="fr-FR"/>
        </w:rPr>
      </w:pPr>
    </w:p>
    <w:p>
      <w:pPr>
        <w:pStyle w:val="Texte"/>
        <w:jc w:val="center"/>
        <w:rPr>
          <w:rFonts w:ascii="Times New Roman" w:hAnsi="Times New Roman"/>
          <w:b/>
          <w:sz w:val="18"/>
          <w:lang w:val="fr-FR"/>
        </w:rPr>
      </w:pPr>
      <w:r>
        <w:rPr>
          <w:rFonts w:ascii="Times New Roman" w:hAnsi="Times New Roman"/>
          <w:b/>
          <w:sz w:val="18"/>
          <w:lang w:val="fr-FR"/>
        </w:rPr>
        <w:t xml:space="preserve">ADMINISTRATION GENERALE DE L’ENSEIGNEMENT </w:t>
      </w:r>
    </w:p>
    <w:p>
      <w:pPr>
        <w:pStyle w:val="Texte"/>
        <w:jc w:val="center"/>
        <w:rPr>
          <w:rFonts w:ascii="Times New Roman" w:hAnsi="Times New Roman"/>
          <w:sz w:val="22"/>
          <w:lang w:val="fr-FR"/>
        </w:rPr>
      </w:pPr>
    </w:p>
    <w:p>
      <w:pPr>
        <w:pStyle w:val="Texte"/>
        <w:jc w:val="center"/>
        <w:rPr>
          <w:rFonts w:ascii="Times New Roman" w:hAnsi="Times New Roman"/>
          <w:b/>
          <w:sz w:val="28"/>
          <w:lang w:val="fr-FR"/>
        </w:rPr>
      </w:pPr>
      <w:r>
        <w:rPr>
          <w:rFonts w:ascii="Times New Roman" w:hAnsi="Times New Roman"/>
          <w:b/>
          <w:sz w:val="22"/>
          <w:lang w:val="fr-FR"/>
        </w:rPr>
        <w:t xml:space="preserve">ENSEIGNEMENT DE PROMOTION SOCIALE </w:t>
      </w: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itre2"/>
        <w:tabs>
          <w:tab w:val="left" w:pos="0"/>
        </w:tabs>
        <w:rPr>
          <w:sz w:val="28"/>
        </w:rPr>
      </w:pPr>
      <w:r>
        <w:rPr>
          <w:sz w:val="28"/>
        </w:rPr>
        <w:t>DOSSIER PEDAGOGIQUE</w:t>
      </w:r>
    </w:p>
    <w:p>
      <w:pPr>
        <w:pStyle w:val="Titre1"/>
      </w:pPr>
    </w:p>
    <w:p/>
    <w:p/>
    <w:p>
      <w:pPr>
        <w:pStyle w:val="Titre2"/>
        <w:rPr>
          <w:caps/>
        </w:rPr>
      </w:pPr>
      <w:r>
        <w:t>UNITE D’ENSEIGNEMENT</w:t>
      </w:r>
      <w:r>
        <w:rPr>
          <w:b w:val="0"/>
          <w:bCs w:val="0"/>
        </w:rPr>
        <w:t xml:space="preserve"> </w:t>
      </w:r>
    </w:p>
    <w:p>
      <w:pPr>
        <w:jc w:val="center"/>
        <w:rPr>
          <w:b/>
          <w:bCs/>
        </w:rPr>
      </w:pPr>
    </w:p>
    <w:p>
      <w:pPr>
        <w:jc w:val="center"/>
        <w:rPr>
          <w:b/>
          <w:bCs/>
        </w:rPr>
      </w:pPr>
    </w:p>
    <w:p>
      <w:pPr>
        <w:jc w:val="center"/>
        <w:rPr>
          <w:b/>
          <w:bCs/>
        </w:rPr>
      </w:pPr>
    </w:p>
    <w:p>
      <w:pPr>
        <w:pStyle w:val="Titre2"/>
        <w:rPr>
          <w:caps/>
          <w:sz w:val="28"/>
          <w:szCs w:val="28"/>
        </w:rPr>
      </w:pPr>
      <w:r>
        <w:rPr>
          <w:caps/>
          <w:sz w:val="28"/>
          <w:szCs w:val="28"/>
        </w:rPr>
        <w:t>ANALYSE DE BILANS</w:t>
      </w:r>
    </w:p>
    <w:p>
      <w:pPr>
        <w:jc w:val="center"/>
        <w:rPr>
          <w:b/>
          <w:bCs/>
          <w:sz w:val="22"/>
          <w:szCs w:val="22"/>
        </w:rPr>
      </w:pPr>
    </w:p>
    <w:p>
      <w:pPr>
        <w:jc w:val="center"/>
        <w:rPr>
          <w:b/>
          <w:bCs/>
          <w:sz w:val="22"/>
          <w:szCs w:val="22"/>
        </w:rPr>
      </w:pPr>
    </w:p>
    <w:p>
      <w:pPr>
        <w:jc w:val="center"/>
        <w:rPr>
          <w:b/>
          <w:bCs/>
          <w:sz w:val="22"/>
          <w:szCs w:val="22"/>
        </w:rPr>
      </w:pPr>
    </w:p>
    <w:p>
      <w:pPr>
        <w:suppressAutoHyphens w:val="0"/>
        <w:jc w:val="center"/>
        <w:rPr>
          <w:b/>
          <w:sz w:val="22"/>
          <w:lang w:eastAsia="fr-FR"/>
        </w:rPr>
      </w:pPr>
      <w:r>
        <w:rPr>
          <w:b/>
          <w:sz w:val="22"/>
          <w:lang w:eastAsia="fr-FR"/>
        </w:rPr>
        <w:t xml:space="preserve">ENSEIGNEMENT </w:t>
      </w:r>
      <w:r>
        <w:rPr>
          <w:b/>
          <w:caps/>
          <w:sz w:val="22"/>
          <w:lang w:eastAsia="fr-FR"/>
        </w:rPr>
        <w:t>supérieur DE TYPE COURT</w:t>
      </w:r>
    </w:p>
    <w:p>
      <w:pPr>
        <w:suppressAutoHyphens w:val="0"/>
        <w:jc w:val="center"/>
        <w:rPr>
          <w:bCs/>
          <w:smallCaps/>
          <w:spacing w:val="5"/>
          <w:sz w:val="24"/>
          <w:szCs w:val="24"/>
          <w:lang w:eastAsia="fr-FR"/>
        </w:rPr>
      </w:pPr>
      <w:r>
        <w:rPr>
          <w:bCs/>
          <w:smallCaps/>
          <w:spacing w:val="5"/>
          <w:sz w:val="24"/>
          <w:szCs w:val="24"/>
          <w:lang w:eastAsia="fr-FR"/>
        </w:rPr>
        <w:t>domaine : Sciences économiques et de gestion</w:t>
      </w:r>
    </w:p>
    <w:p>
      <w:pPr>
        <w:rPr>
          <w:b/>
          <w:bCs/>
        </w:rPr>
      </w:pPr>
    </w:p>
    <w:p>
      <w:pPr>
        <w:rPr>
          <w:b/>
          <w:bCs/>
        </w:rPr>
      </w:pPr>
    </w:p>
    <w:tbl>
      <w:tblPr>
        <w:tblW w:w="6120" w:type="dxa"/>
        <w:jc w:val="center"/>
        <w:tblLayout w:type="fixed"/>
        <w:tblCellMar>
          <w:left w:w="71" w:type="dxa"/>
          <w:right w:w="71" w:type="dxa"/>
        </w:tblCellMar>
        <w:tblLook w:val="0000" w:firstRow="0" w:lastRow="0" w:firstColumn="0" w:lastColumn="0" w:noHBand="0" w:noVBand="0"/>
      </w:tblPr>
      <w:tblGrid>
        <w:gridCol w:w="6120"/>
      </w:tblGrid>
      <w:tr>
        <w:trPr>
          <w:jc w:val="center"/>
        </w:trPr>
        <w:tc>
          <w:tcPr>
            <w:tcW w:w="6120" w:type="dxa"/>
            <w:tcBorders>
              <w:top w:val="single" w:sz="4" w:space="0" w:color="000000"/>
              <w:left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CODE : 711601U32D3</w:t>
            </w:r>
          </w:p>
        </w:tc>
      </w:tr>
      <w:tr>
        <w:trPr>
          <w:jc w:val="center"/>
        </w:trPr>
        <w:tc>
          <w:tcPr>
            <w:tcW w:w="6120" w:type="dxa"/>
            <w:tcBorders>
              <w:left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CODE DU DOMAINE DE FORMATION : 702</w:t>
            </w:r>
          </w:p>
        </w:tc>
      </w:tr>
      <w:tr>
        <w:trPr>
          <w:jc w:val="center"/>
        </w:trPr>
        <w:tc>
          <w:tcPr>
            <w:tcW w:w="6120" w:type="dxa"/>
            <w:tcBorders>
              <w:left w:val="single" w:sz="4" w:space="0" w:color="000000"/>
              <w:bottom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DOCUMENT DE REFERENCE INTER-RESEAUX</w:t>
            </w:r>
          </w:p>
          <w:p>
            <w:pPr>
              <w:pStyle w:val="Texte"/>
              <w:rPr>
                <w:rFonts w:ascii="Times New Roman" w:hAnsi="Times New Roman"/>
                <w:sz w:val="22"/>
                <w:lang w:val="fr-FR"/>
              </w:rPr>
            </w:pPr>
          </w:p>
        </w:tc>
      </w:tr>
    </w:tbl>
    <w:p/>
    <w:p/>
    <w:p/>
    <w:p/>
    <w:p/>
    <w:p>
      <w:pPr>
        <w:jc w:val="center"/>
        <w:rPr>
          <w:b/>
        </w:rPr>
      </w:pPr>
      <w:r>
        <w:rPr>
          <w:b/>
        </w:rPr>
        <w:t>Approbation du Gouvernement de la Communauté française du 01 juillet 2019,</w:t>
      </w:r>
      <w:bookmarkStart w:id="0" w:name="_GoBack"/>
      <w:bookmarkEnd w:id="0"/>
    </w:p>
    <w:p>
      <w:pPr>
        <w:jc w:val="center"/>
        <w:rPr>
          <w:b/>
        </w:rPr>
      </w:pPr>
      <w:proofErr w:type="gramStart"/>
      <w:r>
        <w:rPr>
          <w:b/>
        </w:rPr>
        <w:t>sur</w:t>
      </w:r>
      <w:proofErr w:type="gramEnd"/>
      <w:r>
        <w:rPr>
          <w:b/>
        </w:rPr>
        <w:t xml:space="preserve"> avis conforme du Conseil général</w:t>
      </w:r>
    </w:p>
    <w:p>
      <w:pPr>
        <w:rPr>
          <w:lang w:val="fr-BE"/>
        </w:rPr>
      </w:pPr>
    </w:p>
    <w:tbl>
      <w:tblPr>
        <w:tblW w:w="9387" w:type="dxa"/>
        <w:jc w:val="center"/>
        <w:tblLayout w:type="fixed"/>
        <w:tblCellMar>
          <w:left w:w="70" w:type="dxa"/>
          <w:right w:w="70" w:type="dxa"/>
        </w:tblCellMar>
        <w:tblLook w:val="0000" w:firstRow="0" w:lastRow="0" w:firstColumn="0" w:lastColumn="0" w:noHBand="0" w:noVBand="0"/>
      </w:tblPr>
      <w:tblGrid>
        <w:gridCol w:w="9387"/>
      </w:tblGrid>
      <w:tr>
        <w:trPr>
          <w:jc w:val="center"/>
        </w:trPr>
        <w:tc>
          <w:tcPr>
            <w:tcW w:w="9387" w:type="dxa"/>
            <w:tcBorders>
              <w:top w:val="single" w:sz="4" w:space="0" w:color="000000"/>
              <w:left w:val="single" w:sz="4" w:space="0" w:color="000000"/>
              <w:bottom w:val="single" w:sz="20" w:space="0" w:color="000000"/>
              <w:right w:val="single" w:sz="20" w:space="0" w:color="000000"/>
            </w:tcBorders>
          </w:tcPr>
          <w:p>
            <w:pPr>
              <w:snapToGrid w:val="0"/>
              <w:rPr>
                <w:b/>
                <w:sz w:val="28"/>
              </w:rPr>
            </w:pPr>
          </w:p>
          <w:p>
            <w:pPr>
              <w:jc w:val="center"/>
              <w:rPr>
                <w:b/>
                <w:bCs/>
                <w:sz w:val="32"/>
                <w:szCs w:val="32"/>
              </w:rPr>
            </w:pPr>
            <w:r>
              <w:rPr>
                <w:b/>
                <w:bCs/>
                <w:sz w:val="32"/>
                <w:szCs w:val="32"/>
              </w:rPr>
              <w:t>ANALYSE DE BILANS</w:t>
            </w:r>
          </w:p>
          <w:p>
            <w:pPr>
              <w:jc w:val="center"/>
              <w:rPr>
                <w:b/>
                <w:sz w:val="28"/>
              </w:rPr>
            </w:pPr>
          </w:p>
          <w:p>
            <w:pPr>
              <w:jc w:val="center"/>
              <w:rPr>
                <w:b/>
                <w:caps/>
              </w:rPr>
            </w:pPr>
            <w:r>
              <w:rPr>
                <w:b/>
                <w:caps/>
              </w:rPr>
              <w:t xml:space="preserve">enseignement superieur </w:t>
            </w:r>
            <w:bookmarkStart w:id="1" w:name="OLE_LINK1"/>
            <w:bookmarkStart w:id="2" w:name="OLE_LINK2"/>
            <w:r>
              <w:rPr>
                <w:b/>
                <w:caps/>
              </w:rPr>
              <w:t>de type court</w:t>
            </w:r>
            <w:bookmarkEnd w:id="1"/>
            <w:bookmarkEnd w:id="2"/>
          </w:p>
          <w:p>
            <w:pPr>
              <w:rPr>
                <w:b/>
                <w:sz w:val="28"/>
              </w:rPr>
            </w:pPr>
          </w:p>
        </w:tc>
      </w:tr>
    </w:tbl>
    <w:p/>
    <w:p/>
    <w:p/>
    <w:p/>
    <w:p>
      <w:pPr>
        <w:numPr>
          <w:ilvl w:val="0"/>
          <w:numId w:val="2"/>
        </w:numPr>
        <w:rPr>
          <w:b/>
          <w:sz w:val="22"/>
        </w:rPr>
      </w:pPr>
      <w:r>
        <w:rPr>
          <w:b/>
          <w:sz w:val="22"/>
        </w:rPr>
        <w:t>FINALITES DE L’UNITE D’ENSEIGNEMENT</w:t>
      </w:r>
    </w:p>
    <w:p/>
    <w:p>
      <w:pPr>
        <w:numPr>
          <w:ilvl w:val="1"/>
          <w:numId w:val="2"/>
        </w:numPr>
        <w:tabs>
          <w:tab w:val="left" w:pos="425"/>
          <w:tab w:val="left" w:pos="860"/>
        </w:tabs>
        <w:rPr>
          <w:b/>
          <w:sz w:val="22"/>
        </w:rPr>
      </w:pPr>
      <w:r>
        <w:rPr>
          <w:b/>
          <w:sz w:val="22"/>
        </w:rPr>
        <w:t>Finalités générales</w:t>
      </w:r>
    </w:p>
    <w:p>
      <w:pPr>
        <w:ind w:left="425"/>
        <w:rPr>
          <w:b/>
          <w:sz w:val="22"/>
        </w:rPr>
      </w:pPr>
    </w:p>
    <w:p>
      <w:pPr>
        <w:suppressAutoHyphens w:val="0"/>
        <w:spacing w:after="120"/>
        <w:ind w:left="851"/>
        <w:jc w:val="both"/>
        <w:rPr>
          <w:sz w:val="22"/>
        </w:rPr>
      </w:pPr>
      <w:r>
        <w:rPr>
          <w:sz w:val="22"/>
        </w:rPr>
        <w:t xml:space="preserve">Conformément à l’article 7 du décret de </w:t>
      </w:r>
      <w:smartTag w:uri="urn:schemas-microsoft-com:office:smarttags" w:element="PersonName">
        <w:smartTagPr>
          <w:attr w:name="ProductID" w:val="la Communauté"/>
        </w:smartTagPr>
        <w:r>
          <w:rPr>
            <w:sz w:val="22"/>
          </w:rPr>
          <w:t>la Communauté</w:t>
        </w:r>
      </w:smartTag>
      <w:r>
        <w:rPr>
          <w:sz w:val="22"/>
        </w:rPr>
        <w:t xml:space="preserve"> française du 16 avril 1991 organisant l'enseignement de promotion sociale, cette unité d’enseignement doit :</w:t>
      </w:r>
    </w:p>
    <w:p>
      <w:pPr>
        <w:numPr>
          <w:ilvl w:val="0"/>
          <w:numId w:val="3"/>
        </w:numPr>
        <w:suppressAutoHyphens w:val="0"/>
        <w:spacing w:after="120"/>
        <w:ind w:left="1134" w:hanging="295"/>
        <w:jc w:val="both"/>
        <w:rPr>
          <w:sz w:val="22"/>
        </w:rPr>
      </w:pPr>
      <w:r>
        <w:rPr>
          <w:sz w:val="22"/>
          <w:szCs w:val="22"/>
          <w:lang w:val="fr-BE"/>
        </w:rPr>
        <w:t>concourir</w:t>
      </w:r>
      <w:r>
        <w:rPr>
          <w:sz w:val="22"/>
        </w:rPr>
        <w:t xml:space="preserve"> à l’épanouissement individuel en promouvant une meilleure insertion professionnelle, sociale, culturelle et scolaire ;</w:t>
      </w:r>
    </w:p>
    <w:p>
      <w:pPr>
        <w:numPr>
          <w:ilvl w:val="0"/>
          <w:numId w:val="3"/>
        </w:numPr>
        <w:suppressAutoHyphens w:val="0"/>
        <w:ind w:left="1134" w:hanging="294"/>
        <w:jc w:val="both"/>
        <w:rPr>
          <w:sz w:val="22"/>
        </w:rPr>
      </w:pPr>
      <w:r>
        <w:rPr>
          <w:sz w:val="22"/>
          <w:szCs w:val="22"/>
          <w:lang w:val="fr-BE"/>
        </w:rPr>
        <w:t>répondre</w:t>
      </w:r>
      <w:r>
        <w:rPr>
          <w:sz w:val="22"/>
        </w:rPr>
        <w:t xml:space="preserve"> aux besoins et demandes en formation émanant des entreprises, des administrations, de l’enseignement et d’une manière générale des milieux socio-économiques et culturels.</w:t>
      </w:r>
    </w:p>
    <w:p>
      <w:pPr>
        <w:rPr>
          <w:sz w:val="22"/>
        </w:rPr>
      </w:pPr>
    </w:p>
    <w:p>
      <w:pPr>
        <w:ind w:left="851" w:hanging="426"/>
        <w:rPr>
          <w:b/>
          <w:sz w:val="22"/>
        </w:rPr>
      </w:pPr>
      <w:r>
        <w:rPr>
          <w:b/>
          <w:sz w:val="22"/>
        </w:rPr>
        <w:t>1.2.</w:t>
      </w:r>
      <w:r>
        <w:rPr>
          <w:b/>
          <w:sz w:val="22"/>
        </w:rPr>
        <w:tab/>
        <w:t>Finalités particulières</w:t>
      </w:r>
    </w:p>
    <w:p>
      <w:pPr>
        <w:pStyle w:val="Texte"/>
        <w:numPr>
          <w:ilvl w:val="12"/>
          <w:numId w:val="0"/>
        </w:numPr>
        <w:ind w:left="851"/>
        <w:jc w:val="both"/>
        <w:rPr>
          <w:rFonts w:ascii="Times New Roman" w:hAnsi="Times New Roman"/>
          <w:sz w:val="22"/>
        </w:rPr>
      </w:pPr>
    </w:p>
    <w:p>
      <w:pPr>
        <w:numPr>
          <w:ilvl w:val="12"/>
          <w:numId w:val="0"/>
        </w:numPr>
        <w:spacing w:line="360" w:lineRule="auto"/>
        <w:ind w:left="851"/>
        <w:jc w:val="both"/>
        <w:rPr>
          <w:sz w:val="22"/>
        </w:rPr>
      </w:pPr>
      <w:r>
        <w:rPr>
          <w:sz w:val="22"/>
        </w:rPr>
        <w:t>L'unité d’enseignement vise à permettre à l'étudiant :</w:t>
      </w:r>
    </w:p>
    <w:p>
      <w:pPr>
        <w:widowControl w:val="0"/>
        <w:numPr>
          <w:ilvl w:val="0"/>
          <w:numId w:val="5"/>
        </w:numPr>
        <w:suppressAutoHyphens w:val="0"/>
        <w:spacing w:before="120"/>
        <w:ind w:left="1135" w:hanging="284"/>
        <w:jc w:val="both"/>
        <w:rPr>
          <w:sz w:val="22"/>
        </w:rPr>
      </w:pPr>
      <w:r>
        <w:rPr>
          <w:sz w:val="22"/>
        </w:rPr>
        <w:t>d’analyser et d’interpréter les comptes annuels en vue de l’élaboration d’une politique de gestion ;</w:t>
      </w:r>
    </w:p>
    <w:p>
      <w:pPr>
        <w:widowControl w:val="0"/>
        <w:numPr>
          <w:ilvl w:val="0"/>
          <w:numId w:val="5"/>
        </w:numPr>
        <w:suppressAutoHyphens w:val="0"/>
        <w:spacing w:before="120"/>
        <w:ind w:left="1135" w:hanging="284"/>
        <w:jc w:val="both"/>
        <w:rPr>
          <w:sz w:val="22"/>
        </w:rPr>
      </w:pPr>
      <w:r>
        <w:rPr>
          <w:sz w:val="22"/>
        </w:rPr>
        <w:t>de percevoir globalement les situations comptables et les problèmes mis en évidence.</w:t>
      </w:r>
    </w:p>
    <w:p>
      <w:pPr>
        <w:pStyle w:val="Texte"/>
        <w:numPr>
          <w:ilvl w:val="12"/>
          <w:numId w:val="0"/>
        </w:numPr>
        <w:ind w:left="851"/>
        <w:jc w:val="both"/>
        <w:rPr>
          <w:rFonts w:ascii="Times New Roman" w:hAnsi="Times New Roman"/>
          <w:sz w:val="22"/>
        </w:rPr>
      </w:pPr>
    </w:p>
    <w:p>
      <w:bookmarkStart w:id="3" w:name="FIP"/>
      <w:bookmarkEnd w:id="3"/>
    </w:p>
    <w:p>
      <w:pPr>
        <w:rPr>
          <w:sz w:val="22"/>
          <w:szCs w:val="22"/>
        </w:rPr>
      </w:pPr>
    </w:p>
    <w:p>
      <w:pPr>
        <w:numPr>
          <w:ilvl w:val="0"/>
          <w:numId w:val="2"/>
        </w:numPr>
        <w:rPr>
          <w:b/>
          <w:sz w:val="22"/>
        </w:rPr>
      </w:pPr>
      <w:r>
        <w:rPr>
          <w:b/>
          <w:sz w:val="22"/>
        </w:rPr>
        <w:t>CAPACITES PREALABLES REQUISES</w:t>
      </w:r>
    </w:p>
    <w:p>
      <w:pPr>
        <w:rPr>
          <w:sz w:val="22"/>
        </w:rPr>
      </w:pPr>
    </w:p>
    <w:p>
      <w:pPr>
        <w:numPr>
          <w:ilvl w:val="1"/>
          <w:numId w:val="2"/>
        </w:numPr>
        <w:outlineLvl w:val="0"/>
        <w:rPr>
          <w:b/>
          <w:sz w:val="22"/>
          <w:lang w:eastAsia="fr-FR"/>
        </w:rPr>
      </w:pPr>
      <w:r>
        <w:rPr>
          <w:b/>
          <w:sz w:val="22"/>
        </w:rPr>
        <w:t>Capacités</w:t>
      </w:r>
    </w:p>
    <w:p>
      <w:pPr>
        <w:ind w:left="792"/>
        <w:outlineLvl w:val="0"/>
        <w:rPr>
          <w:b/>
          <w:sz w:val="22"/>
          <w:lang w:eastAsia="fr-FR"/>
        </w:rPr>
      </w:pPr>
    </w:p>
    <w:p>
      <w:pPr>
        <w:numPr>
          <w:ilvl w:val="12"/>
          <w:numId w:val="0"/>
        </w:numPr>
        <w:ind w:left="426"/>
        <w:jc w:val="both"/>
        <w:rPr>
          <w:sz w:val="22"/>
        </w:rPr>
      </w:pPr>
      <w:r>
        <w:rPr>
          <w:i/>
          <w:sz w:val="22"/>
        </w:rPr>
        <w:t>A partir des pièces justificatives et dans le respect des dispositions légales,</w:t>
      </w:r>
      <w:bookmarkStart w:id="4" w:name="_Hlk534704608"/>
    </w:p>
    <w:p>
      <w:pPr>
        <w:numPr>
          <w:ilvl w:val="12"/>
          <w:numId w:val="0"/>
        </w:numPr>
        <w:ind w:left="426"/>
        <w:jc w:val="both"/>
        <w:rPr>
          <w:b/>
          <w:sz w:val="22"/>
        </w:rPr>
      </w:pPr>
    </w:p>
    <w:bookmarkEnd w:id="4"/>
    <w:p>
      <w:pPr>
        <w:numPr>
          <w:ilvl w:val="0"/>
          <w:numId w:val="3"/>
        </w:numPr>
        <w:suppressAutoHyphens w:val="0"/>
        <w:ind w:left="578" w:hanging="294"/>
        <w:jc w:val="both"/>
        <w:rPr>
          <w:sz w:val="22"/>
          <w:szCs w:val="22"/>
          <w:lang w:val="fr-BE"/>
        </w:rPr>
      </w:pPr>
      <w:r>
        <w:rPr>
          <w:sz w:val="22"/>
          <w:szCs w:val="22"/>
          <w:lang w:val="fr-BE"/>
        </w:rPr>
        <w:t xml:space="preserve"> réaliser, après avoir adapté le P.C.M.N., un exercice comptable complet d'une entreprise commerciale ou industrielle depuis l'ouverture des comptes jusqu'à la fin de l'exercice, en assurant la tenue des journaux, des comptes généraux et des comptes individuels ;</w:t>
      </w:r>
    </w:p>
    <w:p>
      <w:pPr>
        <w:numPr>
          <w:ilvl w:val="0"/>
          <w:numId w:val="3"/>
        </w:numPr>
        <w:suppressAutoHyphens w:val="0"/>
        <w:ind w:left="578" w:hanging="294"/>
        <w:jc w:val="both"/>
        <w:rPr>
          <w:sz w:val="22"/>
          <w:szCs w:val="22"/>
          <w:lang w:val="fr-BE"/>
        </w:rPr>
      </w:pPr>
      <w:r>
        <w:rPr>
          <w:sz w:val="22"/>
          <w:szCs w:val="22"/>
          <w:lang w:val="fr-BE"/>
        </w:rPr>
        <w:t xml:space="preserve"> justifier des écritures en droit comptable.</w:t>
      </w:r>
    </w:p>
    <w:p>
      <w:pPr>
        <w:ind w:left="709" w:right="-57"/>
        <w:jc w:val="both"/>
        <w:rPr>
          <w:b/>
          <w:sz w:val="22"/>
        </w:rPr>
      </w:pPr>
    </w:p>
    <w:p>
      <w:pPr>
        <w:rPr>
          <w:sz w:val="22"/>
        </w:rPr>
      </w:pPr>
    </w:p>
    <w:p>
      <w:pPr>
        <w:ind w:left="851" w:hanging="426"/>
        <w:outlineLvl w:val="0"/>
        <w:rPr>
          <w:b/>
          <w:sz w:val="22"/>
        </w:rPr>
      </w:pPr>
      <w:r>
        <w:rPr>
          <w:b/>
          <w:sz w:val="22"/>
        </w:rPr>
        <w:t>2.2.</w:t>
      </w:r>
      <w:r>
        <w:rPr>
          <w:b/>
          <w:sz w:val="22"/>
        </w:rPr>
        <w:tab/>
        <w:t>Titre pouvant en tenir lieu</w:t>
      </w:r>
    </w:p>
    <w:p>
      <w:pPr>
        <w:rPr>
          <w:sz w:val="22"/>
        </w:rPr>
      </w:pPr>
    </w:p>
    <w:p>
      <w:pPr>
        <w:ind w:left="851"/>
        <w:outlineLvl w:val="0"/>
        <w:rPr>
          <w:sz w:val="22"/>
        </w:rPr>
      </w:pPr>
      <w:r>
        <w:rPr>
          <w:sz w:val="22"/>
        </w:rPr>
        <w:t>Attestation de réussite de l’unité d’enseignement « </w:t>
      </w:r>
      <w:r>
        <w:rPr>
          <w:i/>
          <w:sz w:val="22"/>
        </w:rPr>
        <w:t xml:space="preserve">COMPTABILITE GENERALE APPROFONDIE » </w:t>
      </w:r>
      <w:r>
        <w:rPr>
          <w:sz w:val="22"/>
        </w:rPr>
        <w:t>code 711203U32D2</w:t>
      </w:r>
      <w:r>
        <w:rPr>
          <w:i/>
          <w:sz w:val="22"/>
        </w:rPr>
        <w:t xml:space="preserve"> </w:t>
      </w:r>
      <w:r>
        <w:rPr>
          <w:sz w:val="22"/>
        </w:rPr>
        <w:t>de l’enseignement supérieur de type court.</w:t>
      </w:r>
    </w:p>
    <w:p>
      <w:pPr>
        <w:pStyle w:val="NormalWeb"/>
        <w:spacing w:before="0" w:beforeAutospacing="0" w:after="0" w:afterAutospacing="0"/>
        <w:ind w:left="426"/>
        <w:rPr>
          <w:i/>
          <w:sz w:val="22"/>
          <w:szCs w:val="22"/>
          <w:lang w:val="fr-FR" w:eastAsia="ar-SA"/>
        </w:rPr>
      </w:pPr>
    </w:p>
    <w:p>
      <w:pPr>
        <w:rPr>
          <w:b/>
          <w:sz w:val="22"/>
        </w:rPr>
      </w:pPr>
    </w:p>
    <w:p>
      <w:pPr>
        <w:rPr>
          <w:b/>
          <w:sz w:val="22"/>
        </w:rPr>
      </w:pPr>
    </w:p>
    <w:p>
      <w:pPr>
        <w:rPr>
          <w:b/>
          <w:sz w:val="22"/>
        </w:rPr>
      </w:pPr>
    </w:p>
    <w:p>
      <w:pPr>
        <w:rPr>
          <w:b/>
          <w:sz w:val="22"/>
        </w:rPr>
      </w:pPr>
    </w:p>
    <w:p>
      <w:pPr>
        <w:numPr>
          <w:ilvl w:val="0"/>
          <w:numId w:val="2"/>
        </w:numPr>
        <w:jc w:val="both"/>
        <w:rPr>
          <w:b/>
          <w:sz w:val="22"/>
        </w:rPr>
      </w:pPr>
      <w:r>
        <w:rPr>
          <w:b/>
          <w:sz w:val="22"/>
        </w:rPr>
        <w:lastRenderedPageBreak/>
        <w:t>ACQUIS D’APPRENTISSAGE</w:t>
      </w:r>
    </w:p>
    <w:p>
      <w:pPr>
        <w:ind w:left="283" w:hanging="283"/>
        <w:jc w:val="both"/>
        <w:rPr>
          <w:b/>
          <w:sz w:val="22"/>
        </w:rPr>
      </w:pPr>
    </w:p>
    <w:p>
      <w:pPr>
        <w:ind w:left="284"/>
        <w:jc w:val="both"/>
        <w:rPr>
          <w:sz w:val="22"/>
          <w:szCs w:val="22"/>
        </w:rPr>
      </w:pPr>
      <w:bookmarkStart w:id="5" w:name="CAT"/>
      <w:bookmarkEnd w:id="5"/>
      <w:r>
        <w:rPr>
          <w:b/>
          <w:sz w:val="22"/>
          <w:szCs w:val="22"/>
        </w:rPr>
        <w:t>Pour atteindre le seuil de réussite</w:t>
      </w:r>
      <w:r>
        <w:rPr>
          <w:sz w:val="22"/>
          <w:szCs w:val="22"/>
        </w:rPr>
        <w:t>, l’étudiant sera capable,</w:t>
      </w:r>
    </w:p>
    <w:p>
      <w:pPr>
        <w:pStyle w:val="Normalcentr1"/>
        <w:numPr>
          <w:ilvl w:val="12"/>
          <w:numId w:val="0"/>
        </w:numPr>
        <w:spacing w:before="120"/>
        <w:ind w:left="425"/>
      </w:pPr>
      <w:proofErr w:type="gramStart"/>
      <w:r>
        <w:t>au</w:t>
      </w:r>
      <w:proofErr w:type="gramEnd"/>
      <w:r>
        <w:t xml:space="preserve"> moyen de différents documents légaux (comptes annuels, rapports de gestion, rapport au commissaire, comptes consolidés,…) et autres (ratio BNB, …),</w:t>
      </w:r>
    </w:p>
    <w:p>
      <w:pPr>
        <w:numPr>
          <w:ilvl w:val="0"/>
          <w:numId w:val="3"/>
        </w:numPr>
        <w:suppressAutoHyphens w:val="0"/>
        <w:ind w:left="578" w:hanging="294"/>
        <w:jc w:val="both"/>
        <w:rPr>
          <w:sz w:val="22"/>
          <w:szCs w:val="22"/>
          <w:lang w:val="fr-BE"/>
        </w:rPr>
      </w:pPr>
      <w:r>
        <w:rPr>
          <w:sz w:val="22"/>
          <w:szCs w:val="22"/>
          <w:lang w:val="fr-BE"/>
        </w:rPr>
        <w:t>de restructurer les comptes annuels ;</w:t>
      </w:r>
    </w:p>
    <w:p>
      <w:pPr>
        <w:numPr>
          <w:ilvl w:val="0"/>
          <w:numId w:val="3"/>
        </w:numPr>
        <w:suppressAutoHyphens w:val="0"/>
        <w:ind w:left="578" w:hanging="294"/>
        <w:jc w:val="both"/>
        <w:rPr>
          <w:sz w:val="22"/>
          <w:szCs w:val="22"/>
          <w:lang w:val="fr-BE"/>
        </w:rPr>
      </w:pPr>
      <w:r>
        <w:rPr>
          <w:sz w:val="22"/>
          <w:szCs w:val="22"/>
          <w:lang w:val="fr-BE"/>
        </w:rPr>
        <w:t>de calculer les différents paramètres et ratios demandés ;</w:t>
      </w:r>
    </w:p>
    <w:p>
      <w:pPr>
        <w:numPr>
          <w:ilvl w:val="0"/>
          <w:numId w:val="3"/>
        </w:numPr>
        <w:suppressAutoHyphens w:val="0"/>
        <w:ind w:left="578" w:hanging="294"/>
        <w:jc w:val="both"/>
        <w:rPr>
          <w:sz w:val="22"/>
          <w:szCs w:val="22"/>
          <w:lang w:val="fr-BE"/>
        </w:rPr>
      </w:pPr>
      <w:r>
        <w:rPr>
          <w:sz w:val="22"/>
          <w:szCs w:val="22"/>
          <w:lang w:val="fr-BE"/>
        </w:rPr>
        <w:t>de rédiger un rapport succinct et argumenté interprétant les indicateurs obtenus, et proposant des mesures visant à les améliorer.</w:t>
      </w:r>
    </w:p>
    <w:p>
      <w:pPr>
        <w:suppressAutoHyphens w:val="0"/>
        <w:ind w:left="284"/>
        <w:jc w:val="both"/>
        <w:rPr>
          <w:sz w:val="22"/>
          <w:szCs w:val="22"/>
          <w:lang w:val="fr-BE"/>
        </w:rPr>
      </w:pPr>
    </w:p>
    <w:p>
      <w:pPr>
        <w:ind w:left="284"/>
        <w:jc w:val="both"/>
        <w:rPr>
          <w:sz w:val="22"/>
        </w:rPr>
      </w:pPr>
      <w:bookmarkStart w:id="6" w:name="_Hlk509938116"/>
      <w:r>
        <w:rPr>
          <w:b/>
          <w:sz w:val="22"/>
        </w:rPr>
        <w:t xml:space="preserve">Pour la détermination du degré de maîtrise, </w:t>
      </w:r>
      <w:r>
        <w:rPr>
          <w:sz w:val="22"/>
        </w:rPr>
        <w:t>il sera tenu compte des critères suivants :</w:t>
      </w:r>
    </w:p>
    <w:p>
      <w:pPr>
        <w:ind w:left="284"/>
        <w:jc w:val="both"/>
        <w:rPr>
          <w:b/>
          <w:sz w:val="22"/>
        </w:rPr>
      </w:pPr>
    </w:p>
    <w:p>
      <w:pPr>
        <w:numPr>
          <w:ilvl w:val="0"/>
          <w:numId w:val="3"/>
        </w:numPr>
        <w:suppressAutoHyphens w:val="0"/>
        <w:ind w:left="578" w:hanging="294"/>
        <w:jc w:val="both"/>
        <w:rPr>
          <w:sz w:val="22"/>
          <w:szCs w:val="22"/>
          <w:lang w:val="fr-BE"/>
        </w:rPr>
      </w:pPr>
      <w:r>
        <w:rPr>
          <w:sz w:val="22"/>
          <w:szCs w:val="22"/>
          <w:lang w:val="fr-BE"/>
        </w:rPr>
        <w:t>niveau de précision : la clarté, la concision, la rigueur au niveau de la terminologie, des concepts et des techniques/principes/modèles,</w:t>
      </w:r>
    </w:p>
    <w:p>
      <w:pPr>
        <w:numPr>
          <w:ilvl w:val="0"/>
          <w:numId w:val="3"/>
        </w:numPr>
        <w:suppressAutoHyphens w:val="0"/>
        <w:ind w:left="578" w:hanging="294"/>
        <w:jc w:val="both"/>
        <w:rPr>
          <w:sz w:val="22"/>
          <w:szCs w:val="22"/>
          <w:lang w:val="fr-BE"/>
        </w:rPr>
      </w:pPr>
      <w:r>
        <w:rPr>
          <w:sz w:val="22"/>
          <w:szCs w:val="22"/>
          <w:lang w:val="fr-BE"/>
        </w:rPr>
        <w:t>niveau de cohérence : la capacité à établir avec pertinence une majorité de liens logiques pour former un ensemble organisé,</w:t>
      </w:r>
    </w:p>
    <w:p>
      <w:pPr>
        <w:numPr>
          <w:ilvl w:val="0"/>
          <w:numId w:val="3"/>
        </w:numPr>
        <w:suppressAutoHyphens w:val="0"/>
        <w:ind w:left="578" w:hanging="294"/>
        <w:jc w:val="both"/>
        <w:rPr>
          <w:sz w:val="22"/>
          <w:szCs w:val="22"/>
          <w:lang w:val="fr-BE"/>
        </w:rPr>
      </w:pPr>
      <w:r>
        <w:rPr>
          <w:sz w:val="22"/>
          <w:szCs w:val="22"/>
          <w:lang w:val="fr-BE"/>
        </w:rPr>
        <w:t>niveau d’intégration : la capacité à s’approprier des notions, concepts, techniques et démarches en les intégrant dans son analyse, son argumentation, sa pratique ou la recherche de solutions,</w:t>
      </w:r>
    </w:p>
    <w:p>
      <w:pPr>
        <w:numPr>
          <w:ilvl w:val="0"/>
          <w:numId w:val="3"/>
        </w:numPr>
        <w:suppressAutoHyphens w:val="0"/>
        <w:ind w:left="578" w:hanging="294"/>
        <w:jc w:val="both"/>
        <w:rPr>
          <w:sz w:val="22"/>
          <w:szCs w:val="22"/>
          <w:lang w:val="fr-BE"/>
        </w:rPr>
      </w:pPr>
      <w:r>
        <w:rPr>
          <w:sz w:val="22"/>
          <w:szCs w:val="22"/>
          <w:lang w:val="fr-BE"/>
        </w:rPr>
        <w:t>niveau d’autonomie : la capacité de faire preuve d’initiatives démontrant une réflexion personnelle basée sur une exploitation des ressources et des idées en interdépendance avec son environnement.</w:t>
      </w:r>
    </w:p>
    <w:p>
      <w:pPr>
        <w:suppressAutoHyphens w:val="0"/>
        <w:spacing w:after="120"/>
        <w:ind w:left="1134"/>
        <w:jc w:val="both"/>
        <w:rPr>
          <w:sz w:val="22"/>
          <w:szCs w:val="22"/>
          <w:lang w:val="fr-BE"/>
        </w:rPr>
      </w:pPr>
    </w:p>
    <w:bookmarkEnd w:id="6"/>
    <w:p>
      <w:pPr>
        <w:rPr>
          <w:b/>
          <w:sz w:val="22"/>
        </w:rPr>
      </w:pPr>
    </w:p>
    <w:p>
      <w:pPr>
        <w:numPr>
          <w:ilvl w:val="0"/>
          <w:numId w:val="2"/>
        </w:numPr>
        <w:rPr>
          <w:b/>
          <w:sz w:val="22"/>
        </w:rPr>
      </w:pPr>
      <w:r>
        <w:rPr>
          <w:b/>
          <w:sz w:val="22"/>
        </w:rPr>
        <w:t>PROGRAMME</w:t>
      </w:r>
    </w:p>
    <w:p>
      <w:pPr>
        <w:rPr>
          <w:b/>
          <w:sz w:val="22"/>
        </w:rPr>
      </w:pPr>
    </w:p>
    <w:p>
      <w:pPr>
        <w:ind w:left="284"/>
        <w:jc w:val="both"/>
        <w:rPr>
          <w:bCs/>
          <w:iCs/>
          <w:sz w:val="22"/>
          <w:szCs w:val="22"/>
        </w:rPr>
      </w:pPr>
      <w:r>
        <w:rPr>
          <w:bCs/>
          <w:iCs/>
          <w:sz w:val="22"/>
          <w:szCs w:val="22"/>
        </w:rPr>
        <w:t>L’étudiant sera capable :</w:t>
      </w:r>
    </w:p>
    <w:p>
      <w:pPr>
        <w:pStyle w:val="Normalcentr1"/>
        <w:numPr>
          <w:ilvl w:val="12"/>
          <w:numId w:val="0"/>
        </w:numPr>
        <w:spacing w:before="120"/>
        <w:ind w:left="425"/>
      </w:pPr>
      <w:bookmarkStart w:id="7" w:name="_Hlk528058722"/>
      <w:proofErr w:type="gramStart"/>
      <w:r>
        <w:t>au</w:t>
      </w:r>
      <w:proofErr w:type="gramEnd"/>
      <w:r>
        <w:t xml:space="preserve"> moyen de différents documents légaux (comptes annuels, rapports de gestion, rapport au commissaire, comptes consolidés,…) et autres (ratio BNB, …),</w:t>
      </w:r>
    </w:p>
    <w:bookmarkEnd w:id="7"/>
    <w:p>
      <w:pPr>
        <w:widowControl w:val="0"/>
        <w:numPr>
          <w:ilvl w:val="0"/>
          <w:numId w:val="6"/>
        </w:numPr>
        <w:tabs>
          <w:tab w:val="clear" w:pos="360"/>
          <w:tab w:val="num" w:pos="851"/>
        </w:tabs>
        <w:suppressAutoHyphens w:val="0"/>
        <w:spacing w:before="120"/>
        <w:ind w:left="850" w:right="-57" w:hanging="425"/>
        <w:jc w:val="both"/>
        <w:rPr>
          <w:sz w:val="22"/>
        </w:rPr>
      </w:pPr>
      <w:r>
        <w:rPr>
          <w:sz w:val="22"/>
        </w:rPr>
        <w:t>de restructurer les comptes annuels ;</w:t>
      </w:r>
    </w:p>
    <w:p>
      <w:pPr>
        <w:widowControl w:val="0"/>
        <w:numPr>
          <w:ilvl w:val="0"/>
          <w:numId w:val="6"/>
        </w:numPr>
        <w:tabs>
          <w:tab w:val="clear" w:pos="360"/>
          <w:tab w:val="num" w:pos="851"/>
        </w:tabs>
        <w:suppressAutoHyphens w:val="0"/>
        <w:spacing w:before="120"/>
        <w:ind w:left="850" w:right="-57" w:hanging="425"/>
        <w:jc w:val="both"/>
        <w:rPr>
          <w:sz w:val="22"/>
        </w:rPr>
      </w:pPr>
      <w:r>
        <w:rPr>
          <w:sz w:val="22"/>
        </w:rPr>
        <w:t xml:space="preserve">d’identifier les principes et les mécanismes de l’analyse financière : équilibre financier, ratios, </w:t>
      </w:r>
      <w:proofErr w:type="spellStart"/>
      <w:r>
        <w:rPr>
          <w:sz w:val="22"/>
        </w:rPr>
        <w:t>cash flow</w:t>
      </w:r>
      <w:proofErr w:type="spellEnd"/>
      <w:r>
        <w:rPr>
          <w:sz w:val="22"/>
        </w:rPr>
        <w:t>, valeur ajoutée, … ;</w:t>
      </w:r>
    </w:p>
    <w:p>
      <w:pPr>
        <w:widowControl w:val="0"/>
        <w:numPr>
          <w:ilvl w:val="0"/>
          <w:numId w:val="6"/>
        </w:numPr>
        <w:tabs>
          <w:tab w:val="clear" w:pos="360"/>
          <w:tab w:val="num" w:pos="851"/>
        </w:tabs>
        <w:suppressAutoHyphens w:val="0"/>
        <w:spacing w:before="120"/>
        <w:ind w:left="850" w:right="-57" w:hanging="425"/>
        <w:jc w:val="both"/>
        <w:rPr>
          <w:sz w:val="22"/>
        </w:rPr>
      </w:pPr>
      <w:r>
        <w:rPr>
          <w:sz w:val="22"/>
        </w:rPr>
        <w:t>de calculer le fonds de roulement net, le besoin en fonds de roulement, le cash-flow, des ratios significatifs, … ;</w:t>
      </w:r>
    </w:p>
    <w:p>
      <w:pPr>
        <w:widowControl w:val="0"/>
        <w:numPr>
          <w:ilvl w:val="0"/>
          <w:numId w:val="6"/>
        </w:numPr>
        <w:tabs>
          <w:tab w:val="clear" w:pos="360"/>
          <w:tab w:val="num" w:pos="851"/>
        </w:tabs>
        <w:suppressAutoHyphens w:val="0"/>
        <w:spacing w:before="120"/>
        <w:ind w:left="850" w:right="-57" w:hanging="425"/>
        <w:jc w:val="both"/>
        <w:rPr>
          <w:sz w:val="22"/>
        </w:rPr>
      </w:pPr>
      <w:r>
        <w:rPr>
          <w:sz w:val="22"/>
        </w:rPr>
        <w:t>de présenter d’une manière synthétique et compréhensible des états financiers, notamment sous la forme d’un tableau de bord ;</w:t>
      </w:r>
    </w:p>
    <w:p>
      <w:pPr>
        <w:widowControl w:val="0"/>
        <w:numPr>
          <w:ilvl w:val="0"/>
          <w:numId w:val="6"/>
        </w:numPr>
        <w:tabs>
          <w:tab w:val="clear" w:pos="360"/>
          <w:tab w:val="num" w:pos="851"/>
        </w:tabs>
        <w:suppressAutoHyphens w:val="0"/>
        <w:spacing w:before="120"/>
        <w:ind w:left="850" w:right="-57" w:hanging="425"/>
        <w:jc w:val="both"/>
        <w:rPr>
          <w:sz w:val="22"/>
        </w:rPr>
      </w:pPr>
      <w:r>
        <w:rPr>
          <w:sz w:val="22"/>
        </w:rPr>
        <w:t>de comparer les ratios avec ceux du secteur ;</w:t>
      </w:r>
    </w:p>
    <w:p>
      <w:pPr>
        <w:widowControl w:val="0"/>
        <w:numPr>
          <w:ilvl w:val="0"/>
          <w:numId w:val="6"/>
        </w:numPr>
        <w:tabs>
          <w:tab w:val="clear" w:pos="360"/>
          <w:tab w:val="num" w:pos="851"/>
        </w:tabs>
        <w:suppressAutoHyphens w:val="0"/>
        <w:spacing w:before="120"/>
        <w:ind w:left="850" w:right="-57" w:hanging="425"/>
        <w:jc w:val="both"/>
        <w:rPr>
          <w:sz w:val="22"/>
        </w:rPr>
      </w:pPr>
      <w:r>
        <w:rPr>
          <w:sz w:val="22"/>
        </w:rPr>
        <w:t>de rédiger un rapport succinct et argumenté interprétant les performances de l’entreprise, et proposant des mesures visant à les améliorer ;</w:t>
      </w:r>
    </w:p>
    <w:p>
      <w:pPr>
        <w:widowControl w:val="0"/>
        <w:numPr>
          <w:ilvl w:val="0"/>
          <w:numId w:val="6"/>
        </w:numPr>
        <w:tabs>
          <w:tab w:val="clear" w:pos="360"/>
          <w:tab w:val="num" w:pos="851"/>
        </w:tabs>
        <w:suppressAutoHyphens w:val="0"/>
        <w:spacing w:before="120"/>
        <w:ind w:left="850" w:right="-57" w:hanging="425"/>
        <w:jc w:val="both"/>
        <w:rPr>
          <w:sz w:val="22"/>
        </w:rPr>
      </w:pPr>
      <w:r>
        <w:rPr>
          <w:sz w:val="22"/>
        </w:rPr>
        <w:t>d’identifier les principes généraux de consolidation des comptes.</w:t>
      </w:r>
    </w:p>
    <w:p>
      <w:pPr>
        <w:ind w:left="284"/>
        <w:jc w:val="both"/>
        <w:rPr>
          <w:bCs/>
          <w:iCs/>
          <w:sz w:val="22"/>
          <w:szCs w:val="22"/>
        </w:rPr>
      </w:pPr>
    </w:p>
    <w:p>
      <w:pPr>
        <w:rPr>
          <w:b/>
          <w:sz w:val="22"/>
        </w:rPr>
      </w:pPr>
    </w:p>
    <w:p>
      <w:pPr>
        <w:suppressAutoHyphens w:val="0"/>
      </w:pPr>
    </w:p>
    <w:p>
      <w:pPr>
        <w:jc w:val="both"/>
      </w:pPr>
    </w:p>
    <w:p>
      <w:pPr>
        <w:numPr>
          <w:ilvl w:val="0"/>
          <w:numId w:val="2"/>
        </w:numPr>
        <w:tabs>
          <w:tab w:val="num" w:pos="1134"/>
        </w:tabs>
        <w:jc w:val="both"/>
        <w:rPr>
          <w:b/>
          <w:sz w:val="22"/>
        </w:rPr>
      </w:pPr>
      <w:r>
        <w:rPr>
          <w:b/>
          <w:sz w:val="22"/>
        </w:rPr>
        <w:t>CHARGE(S) DE COURS</w:t>
      </w:r>
    </w:p>
    <w:p>
      <w:pPr>
        <w:pStyle w:val="Titre1"/>
        <w:widowControl/>
        <w:numPr>
          <w:ilvl w:val="0"/>
          <w:numId w:val="0"/>
        </w:numPr>
        <w:ind w:left="68"/>
        <w:rPr>
          <w:sz w:val="22"/>
        </w:rPr>
      </w:pPr>
    </w:p>
    <w:p>
      <w:pPr>
        <w:spacing w:before="120"/>
        <w:ind w:left="284"/>
        <w:jc w:val="both"/>
        <w:rPr>
          <w:sz w:val="22"/>
          <w:szCs w:val="22"/>
          <w:shd w:val="clear" w:color="auto" w:fill="00B050"/>
        </w:rPr>
      </w:pPr>
      <w:r>
        <w:rPr>
          <w:sz w:val="22"/>
          <w:szCs w:val="22"/>
        </w:rPr>
        <w:t>Le chargé de cours sera un enseignant ou un expert.</w:t>
      </w:r>
    </w:p>
    <w:p>
      <w:pPr>
        <w:spacing w:before="120"/>
        <w:ind w:left="284"/>
        <w:jc w:val="both"/>
        <w:rPr>
          <w:sz w:val="22"/>
          <w:szCs w:val="22"/>
        </w:rPr>
      </w:pPr>
      <w:r>
        <w:rPr>
          <w:sz w:val="22"/>
          <w:szCs w:val="22"/>
        </w:rPr>
        <w:t>L’expert devra justifier de compétences particulières issues d’une expérience professionnelle actualisée en relation avec la charge de cours qui lui est attribuée.</w:t>
      </w:r>
    </w:p>
    <w:p>
      <w:pPr>
        <w:spacing w:before="120"/>
        <w:ind w:left="284"/>
        <w:jc w:val="both"/>
        <w:rPr>
          <w:sz w:val="22"/>
          <w:szCs w:val="22"/>
        </w:rPr>
      </w:pPr>
    </w:p>
    <w:p>
      <w:pPr>
        <w:jc w:val="both"/>
        <w:rPr>
          <w:sz w:val="22"/>
        </w:rPr>
      </w:pPr>
    </w:p>
    <w:p>
      <w:pPr>
        <w:numPr>
          <w:ilvl w:val="0"/>
          <w:numId w:val="2"/>
        </w:numPr>
        <w:jc w:val="both"/>
        <w:rPr>
          <w:b/>
          <w:sz w:val="22"/>
        </w:rPr>
      </w:pPr>
      <w:r>
        <w:rPr>
          <w:b/>
          <w:sz w:val="22"/>
        </w:rPr>
        <w:t>CONSTITUTION DES GROUPES OU REGROUPEMENT</w:t>
      </w:r>
    </w:p>
    <w:p>
      <w:pPr>
        <w:pStyle w:val="Titre1"/>
        <w:widowControl/>
        <w:numPr>
          <w:ilvl w:val="0"/>
          <w:numId w:val="0"/>
        </w:numPr>
        <w:ind w:left="68"/>
        <w:rPr>
          <w:sz w:val="22"/>
        </w:rPr>
      </w:pPr>
    </w:p>
    <w:p>
      <w:pPr>
        <w:ind w:left="284"/>
        <w:jc w:val="both"/>
        <w:rPr>
          <w:sz w:val="22"/>
        </w:rPr>
      </w:pPr>
      <w:r>
        <w:rPr>
          <w:sz w:val="22"/>
        </w:rPr>
        <w:t>Aucune recommandation particulière.</w:t>
      </w:r>
    </w:p>
    <w:p>
      <w:pPr>
        <w:ind w:left="426"/>
        <w:jc w:val="both"/>
      </w:pPr>
    </w:p>
    <w:p>
      <w:pPr>
        <w:pStyle w:val="NormalWeb"/>
        <w:spacing w:before="0" w:beforeAutospacing="0" w:after="0" w:afterAutospacing="0"/>
        <w:ind w:left="426"/>
        <w:rPr>
          <w:sz w:val="22"/>
          <w:szCs w:val="22"/>
          <w:lang w:val="fr-FR" w:eastAsia="ar-SA"/>
        </w:rPr>
      </w:pPr>
    </w:p>
    <w:p>
      <w:pPr>
        <w:numPr>
          <w:ilvl w:val="0"/>
          <w:numId w:val="2"/>
        </w:numPr>
        <w:rPr>
          <w:b/>
          <w:sz w:val="22"/>
        </w:rPr>
      </w:pPr>
      <w:r>
        <w:rPr>
          <w:b/>
          <w:sz w:val="22"/>
        </w:rPr>
        <w:t>HORAIRE MINIMUM DE L’UNITE D’ENSEIGNEMENT</w:t>
      </w:r>
    </w:p>
    <w:p>
      <w:pPr>
        <w:ind w:left="708" w:hanging="708"/>
        <w:rPr>
          <w:sz w:val="22"/>
        </w:rPr>
      </w:pPr>
    </w:p>
    <w:p>
      <w:pPr>
        <w:ind w:left="708" w:hanging="708"/>
        <w:rPr>
          <w:sz w:val="22"/>
        </w:rPr>
      </w:pPr>
    </w:p>
    <w:tbl>
      <w:tblPr>
        <w:tblW w:w="8965" w:type="dxa"/>
        <w:tblInd w:w="-69" w:type="dxa"/>
        <w:tblLayout w:type="fixed"/>
        <w:tblCellMar>
          <w:left w:w="71" w:type="dxa"/>
          <w:right w:w="71" w:type="dxa"/>
        </w:tblCellMar>
        <w:tblLook w:val="0000" w:firstRow="0" w:lastRow="0" w:firstColumn="0" w:lastColumn="0" w:noHBand="0" w:noVBand="0"/>
      </w:tblPr>
      <w:tblGrid>
        <w:gridCol w:w="3437"/>
        <w:gridCol w:w="1417"/>
        <w:gridCol w:w="1856"/>
        <w:gridCol w:w="2255"/>
      </w:tblGrid>
      <w:tr>
        <w:tc>
          <w:tcPr>
            <w:tcW w:w="3437" w:type="dxa"/>
            <w:tcBorders>
              <w:top w:val="single" w:sz="8" w:space="0" w:color="000000"/>
              <w:left w:val="single" w:sz="8" w:space="0" w:color="000000"/>
              <w:bottom w:val="single" w:sz="8" w:space="0" w:color="000000"/>
            </w:tcBorders>
          </w:tcPr>
          <w:p>
            <w:pPr>
              <w:snapToGrid w:val="0"/>
              <w:ind w:left="426"/>
              <w:rPr>
                <w:b/>
                <w:sz w:val="22"/>
                <w:szCs w:val="22"/>
              </w:rPr>
            </w:pPr>
            <w:r>
              <w:rPr>
                <w:b/>
                <w:sz w:val="22"/>
                <w:szCs w:val="22"/>
              </w:rPr>
              <w:t>7.1. Dénomination des cours</w:t>
            </w:r>
          </w:p>
        </w:tc>
        <w:tc>
          <w:tcPr>
            <w:tcW w:w="1417" w:type="dxa"/>
            <w:tcBorders>
              <w:top w:val="single" w:sz="8" w:space="0" w:color="000000"/>
              <w:left w:val="single" w:sz="4" w:space="0" w:color="000000"/>
              <w:bottom w:val="single" w:sz="8" w:space="0" w:color="000000"/>
            </w:tcBorders>
          </w:tcPr>
          <w:p>
            <w:pPr>
              <w:snapToGrid w:val="0"/>
              <w:jc w:val="center"/>
              <w:rPr>
                <w:b/>
                <w:sz w:val="22"/>
                <w:szCs w:val="22"/>
                <w:u w:val="single"/>
              </w:rPr>
            </w:pPr>
            <w:r>
              <w:rPr>
                <w:b/>
                <w:sz w:val="22"/>
                <w:szCs w:val="22"/>
                <w:u w:val="single"/>
              </w:rPr>
              <w:t>Classement des cours</w:t>
            </w:r>
          </w:p>
        </w:tc>
        <w:tc>
          <w:tcPr>
            <w:tcW w:w="1856" w:type="dxa"/>
            <w:tcBorders>
              <w:top w:val="single" w:sz="8" w:space="0" w:color="000000"/>
              <w:left w:val="single" w:sz="4" w:space="0" w:color="000000"/>
              <w:bottom w:val="single" w:sz="8" w:space="0" w:color="000000"/>
            </w:tcBorders>
          </w:tcPr>
          <w:p>
            <w:pPr>
              <w:pStyle w:val="Titre3"/>
              <w:jc w:val="center"/>
              <w:rPr>
                <w:rFonts w:ascii="Times New Roman" w:hAnsi="Times New Roman" w:cs="Times New Roman"/>
                <w:bCs w:val="0"/>
                <w:sz w:val="22"/>
                <w:szCs w:val="22"/>
                <w:u w:val="single"/>
              </w:rPr>
            </w:pPr>
            <w:r>
              <w:rPr>
                <w:rFonts w:ascii="Times New Roman" w:hAnsi="Times New Roman" w:cs="Times New Roman"/>
                <w:bCs w:val="0"/>
                <w:sz w:val="22"/>
                <w:szCs w:val="22"/>
                <w:u w:val="single"/>
              </w:rPr>
              <w:t>Code U</w:t>
            </w:r>
          </w:p>
        </w:tc>
        <w:tc>
          <w:tcPr>
            <w:tcW w:w="2255" w:type="dxa"/>
            <w:tcBorders>
              <w:top w:val="single" w:sz="8" w:space="0" w:color="000000"/>
              <w:left w:val="single" w:sz="4" w:space="0" w:color="000000"/>
              <w:bottom w:val="single" w:sz="8" w:space="0" w:color="000000"/>
              <w:right w:val="single" w:sz="8" w:space="0" w:color="000000"/>
            </w:tcBorders>
          </w:tcPr>
          <w:p>
            <w:pPr>
              <w:snapToGrid w:val="0"/>
              <w:jc w:val="center"/>
              <w:rPr>
                <w:b/>
                <w:sz w:val="22"/>
                <w:szCs w:val="22"/>
                <w:u w:val="single"/>
              </w:rPr>
            </w:pPr>
            <w:r>
              <w:rPr>
                <w:b/>
                <w:sz w:val="22"/>
                <w:szCs w:val="22"/>
                <w:u w:val="single"/>
              </w:rPr>
              <w:t>Nombre de périodes</w:t>
            </w:r>
          </w:p>
        </w:tc>
      </w:tr>
      <w:tr>
        <w:tc>
          <w:tcPr>
            <w:tcW w:w="3437" w:type="dxa"/>
            <w:tcBorders>
              <w:top w:val="single" w:sz="8" w:space="0" w:color="000000"/>
              <w:left w:val="single" w:sz="8" w:space="0" w:color="000000"/>
              <w:bottom w:val="single" w:sz="12" w:space="0" w:color="000000"/>
            </w:tcBorders>
          </w:tcPr>
          <w:p>
            <w:pPr>
              <w:snapToGrid w:val="0"/>
              <w:ind w:left="426"/>
              <w:rPr>
                <w:sz w:val="22"/>
                <w:szCs w:val="22"/>
              </w:rPr>
            </w:pPr>
            <w:bookmarkStart w:id="8" w:name="VOL"/>
            <w:bookmarkEnd w:id="8"/>
            <w:r>
              <w:rPr>
                <w:sz w:val="22"/>
                <w:szCs w:val="22"/>
              </w:rPr>
              <w:t>Analyse de bilans</w:t>
            </w:r>
          </w:p>
        </w:tc>
        <w:tc>
          <w:tcPr>
            <w:tcW w:w="1417" w:type="dxa"/>
            <w:tcBorders>
              <w:top w:val="single" w:sz="8" w:space="0" w:color="000000"/>
              <w:left w:val="single" w:sz="4" w:space="0" w:color="000000"/>
              <w:bottom w:val="single" w:sz="12" w:space="0" w:color="000000"/>
            </w:tcBorders>
          </w:tcPr>
          <w:p>
            <w:pPr>
              <w:snapToGrid w:val="0"/>
              <w:jc w:val="center"/>
              <w:rPr>
                <w:sz w:val="22"/>
                <w:szCs w:val="22"/>
              </w:rPr>
            </w:pPr>
            <w:r>
              <w:rPr>
                <w:sz w:val="22"/>
                <w:szCs w:val="22"/>
              </w:rPr>
              <w:t>CT</w:t>
            </w:r>
          </w:p>
        </w:tc>
        <w:tc>
          <w:tcPr>
            <w:tcW w:w="1856" w:type="dxa"/>
            <w:tcBorders>
              <w:top w:val="single" w:sz="8" w:space="0" w:color="000000"/>
              <w:left w:val="single" w:sz="4" w:space="0" w:color="000000"/>
              <w:bottom w:val="single" w:sz="12" w:space="0" w:color="000000"/>
            </w:tcBorders>
          </w:tcPr>
          <w:p>
            <w:pPr>
              <w:snapToGrid w:val="0"/>
              <w:jc w:val="center"/>
              <w:rPr>
                <w:sz w:val="22"/>
                <w:szCs w:val="22"/>
              </w:rPr>
            </w:pPr>
            <w:r>
              <w:rPr>
                <w:sz w:val="22"/>
                <w:szCs w:val="22"/>
              </w:rPr>
              <w:t>B</w:t>
            </w:r>
          </w:p>
        </w:tc>
        <w:tc>
          <w:tcPr>
            <w:tcW w:w="2255" w:type="dxa"/>
            <w:tcBorders>
              <w:top w:val="single" w:sz="8" w:space="0" w:color="000000"/>
              <w:left w:val="single" w:sz="4" w:space="0" w:color="000000"/>
              <w:bottom w:val="single" w:sz="12" w:space="0" w:color="000000"/>
              <w:right w:val="single" w:sz="8" w:space="0" w:color="000000"/>
            </w:tcBorders>
          </w:tcPr>
          <w:p>
            <w:pPr>
              <w:snapToGrid w:val="0"/>
              <w:ind w:right="460"/>
              <w:jc w:val="right"/>
              <w:rPr>
                <w:sz w:val="22"/>
                <w:szCs w:val="22"/>
              </w:rPr>
            </w:pPr>
            <w:r>
              <w:rPr>
                <w:sz w:val="22"/>
                <w:szCs w:val="22"/>
              </w:rPr>
              <w:t>48</w:t>
            </w:r>
          </w:p>
        </w:tc>
      </w:tr>
      <w:tr>
        <w:tc>
          <w:tcPr>
            <w:tcW w:w="3437" w:type="dxa"/>
            <w:tcBorders>
              <w:top w:val="single" w:sz="8" w:space="0" w:color="000000"/>
              <w:left w:val="single" w:sz="8" w:space="0" w:color="000000"/>
              <w:bottom w:val="single" w:sz="12" w:space="0" w:color="000000"/>
            </w:tcBorders>
          </w:tcPr>
          <w:p>
            <w:pPr>
              <w:snapToGrid w:val="0"/>
              <w:ind w:left="426"/>
              <w:rPr>
                <w:b/>
                <w:sz w:val="22"/>
                <w:szCs w:val="22"/>
              </w:rPr>
            </w:pPr>
            <w:r>
              <w:rPr>
                <w:b/>
                <w:sz w:val="22"/>
                <w:szCs w:val="22"/>
              </w:rPr>
              <w:t>7.2. Part d’autonomie</w:t>
            </w:r>
          </w:p>
        </w:tc>
        <w:tc>
          <w:tcPr>
            <w:tcW w:w="1417" w:type="dxa"/>
            <w:tcBorders>
              <w:top w:val="single" w:sz="8" w:space="0" w:color="000000"/>
              <w:left w:val="single" w:sz="4" w:space="0" w:color="000000"/>
              <w:bottom w:val="single" w:sz="12" w:space="0" w:color="000000"/>
            </w:tcBorders>
          </w:tcPr>
          <w:p>
            <w:pPr>
              <w:snapToGrid w:val="0"/>
              <w:jc w:val="center"/>
              <w:rPr>
                <w:b/>
                <w:sz w:val="22"/>
                <w:szCs w:val="22"/>
              </w:rPr>
            </w:pPr>
          </w:p>
        </w:tc>
        <w:tc>
          <w:tcPr>
            <w:tcW w:w="1856" w:type="dxa"/>
            <w:tcBorders>
              <w:top w:val="single" w:sz="8" w:space="0" w:color="000000"/>
              <w:left w:val="single" w:sz="4" w:space="0" w:color="000000"/>
              <w:bottom w:val="single" w:sz="12" w:space="0" w:color="000000"/>
            </w:tcBorders>
          </w:tcPr>
          <w:p>
            <w:pPr>
              <w:snapToGrid w:val="0"/>
              <w:jc w:val="center"/>
              <w:rPr>
                <w:sz w:val="22"/>
                <w:szCs w:val="22"/>
              </w:rPr>
            </w:pPr>
            <w:r>
              <w:rPr>
                <w:sz w:val="22"/>
                <w:szCs w:val="22"/>
              </w:rPr>
              <w:t>P</w:t>
            </w:r>
          </w:p>
        </w:tc>
        <w:tc>
          <w:tcPr>
            <w:tcW w:w="2255" w:type="dxa"/>
            <w:tcBorders>
              <w:top w:val="single" w:sz="8" w:space="0" w:color="000000"/>
              <w:left w:val="single" w:sz="4" w:space="0" w:color="000000"/>
              <w:bottom w:val="single" w:sz="12" w:space="0" w:color="000000"/>
              <w:right w:val="single" w:sz="8" w:space="0" w:color="000000"/>
            </w:tcBorders>
          </w:tcPr>
          <w:p>
            <w:pPr>
              <w:snapToGrid w:val="0"/>
              <w:ind w:right="460"/>
              <w:jc w:val="right"/>
              <w:rPr>
                <w:sz w:val="22"/>
                <w:szCs w:val="22"/>
              </w:rPr>
            </w:pPr>
            <w:r>
              <w:rPr>
                <w:sz w:val="22"/>
                <w:szCs w:val="22"/>
              </w:rPr>
              <w:t>12</w:t>
            </w:r>
          </w:p>
        </w:tc>
      </w:tr>
      <w:tr>
        <w:tc>
          <w:tcPr>
            <w:tcW w:w="3437" w:type="dxa"/>
            <w:tcBorders>
              <w:top w:val="single" w:sz="12" w:space="0" w:color="000000"/>
              <w:left w:val="single" w:sz="12" w:space="0" w:color="000000"/>
              <w:bottom w:val="single" w:sz="12" w:space="0" w:color="000000"/>
            </w:tcBorders>
          </w:tcPr>
          <w:p>
            <w:pPr>
              <w:snapToGrid w:val="0"/>
              <w:ind w:left="426"/>
              <w:rPr>
                <w:b/>
                <w:sz w:val="22"/>
                <w:szCs w:val="22"/>
              </w:rPr>
            </w:pPr>
            <w:r>
              <w:rPr>
                <w:b/>
                <w:sz w:val="22"/>
                <w:szCs w:val="22"/>
              </w:rPr>
              <w:t>Total des périodes</w:t>
            </w:r>
          </w:p>
        </w:tc>
        <w:tc>
          <w:tcPr>
            <w:tcW w:w="1417" w:type="dxa"/>
            <w:tcBorders>
              <w:top w:val="single" w:sz="12" w:space="0" w:color="000000"/>
              <w:bottom w:val="single" w:sz="12" w:space="0" w:color="000000"/>
            </w:tcBorders>
          </w:tcPr>
          <w:p>
            <w:pPr>
              <w:snapToGrid w:val="0"/>
              <w:jc w:val="center"/>
              <w:rPr>
                <w:sz w:val="22"/>
                <w:szCs w:val="22"/>
              </w:rPr>
            </w:pPr>
          </w:p>
        </w:tc>
        <w:tc>
          <w:tcPr>
            <w:tcW w:w="1856" w:type="dxa"/>
            <w:tcBorders>
              <w:top w:val="single" w:sz="12" w:space="0" w:color="000000"/>
              <w:bottom w:val="single" w:sz="12" w:space="0" w:color="000000"/>
              <w:right w:val="single" w:sz="12" w:space="0" w:color="000000"/>
            </w:tcBorders>
          </w:tcPr>
          <w:p>
            <w:pPr>
              <w:snapToGrid w:val="0"/>
              <w:jc w:val="center"/>
              <w:rPr>
                <w:sz w:val="22"/>
                <w:szCs w:val="22"/>
              </w:rPr>
            </w:pPr>
          </w:p>
        </w:tc>
        <w:tc>
          <w:tcPr>
            <w:tcW w:w="2255" w:type="dxa"/>
            <w:tcBorders>
              <w:top w:val="single" w:sz="12" w:space="0" w:color="000000"/>
              <w:left w:val="single" w:sz="12" w:space="0" w:color="000000"/>
              <w:bottom w:val="single" w:sz="12" w:space="0" w:color="000000"/>
              <w:right w:val="single" w:sz="12" w:space="0" w:color="000000"/>
            </w:tcBorders>
          </w:tcPr>
          <w:p>
            <w:pPr>
              <w:snapToGrid w:val="0"/>
              <w:ind w:right="460"/>
              <w:jc w:val="right"/>
              <w:rPr>
                <w:b/>
                <w:sz w:val="22"/>
                <w:szCs w:val="22"/>
              </w:rPr>
            </w:pPr>
            <w:r>
              <w:rPr>
                <w:b/>
                <w:sz w:val="22"/>
                <w:szCs w:val="22"/>
              </w:rPr>
              <w:t>60</w:t>
            </w:r>
          </w:p>
        </w:tc>
      </w:tr>
    </w:tbl>
    <w:p>
      <w:pPr>
        <w:snapToGrid w:val="0"/>
        <w:ind w:left="426"/>
        <w:rPr>
          <w:b/>
          <w:sz w:val="22"/>
          <w:szCs w:val="22"/>
        </w:rPr>
      </w:pPr>
    </w:p>
    <w:p/>
    <w:sectPr>
      <w:headerReference w:type="default" r:id="rId7"/>
      <w:footerReference w:type="default" r:id="rId8"/>
      <w:footnotePr>
        <w:pos w:val="beneathText"/>
      </w:footnotePr>
      <w:type w:val="continuous"/>
      <w:pgSz w:w="11905" w:h="16837"/>
      <w:pgMar w:top="1417" w:right="1417" w:bottom="1291" w:left="1417" w:header="141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Serif">
    <w:altName w:val="Harrington"/>
    <w:panose1 w:val="040005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1"/>
    <w:multiLevelType w:val="multilevel"/>
    <w:tmpl w:val="00000001"/>
    <w:name w:val="Outline"/>
    <w:lvl w:ilvl="0">
      <w:start w:val="1"/>
      <w:numFmt w:val="none"/>
      <w:pStyle w:val="Titre1"/>
      <w:suff w:val="nothing"/>
      <w:lvlText w:val=""/>
      <w:lvlJc w:val="left"/>
      <w:pPr>
        <w:tabs>
          <w:tab w:val="num" w:pos="0"/>
        </w:tabs>
      </w:pPr>
      <w:rPr>
        <w:rFonts w:cs="Times New Roman"/>
      </w:rPr>
    </w:lvl>
    <w:lvl w:ilvl="1">
      <w:start w:val="1"/>
      <w:numFmt w:val="none"/>
      <w:pStyle w:val="Titre2"/>
      <w:suff w:val="nothing"/>
      <w:lvlText w:val=""/>
      <w:lvlJc w:val="left"/>
      <w:pPr>
        <w:tabs>
          <w:tab w:val="num" w:pos="0"/>
        </w:tabs>
      </w:pPr>
      <w:rPr>
        <w:rFonts w:cs="Times New Roman"/>
      </w:rPr>
    </w:lvl>
    <w:lvl w:ilvl="2">
      <w:start w:val="1"/>
      <w:numFmt w:val="none"/>
      <w:pStyle w:val="Titre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3"/>
    <w:multiLevelType w:val="singleLevel"/>
    <w:tmpl w:val="00000003"/>
    <w:name w:val="WW8Num3"/>
    <w:lvl w:ilvl="0">
      <w:start w:val="1"/>
      <w:numFmt w:val="bullet"/>
      <w:pStyle w:val="normal01"/>
      <w:lvlText w:val=""/>
      <w:lvlJc w:val="left"/>
      <w:pPr>
        <w:tabs>
          <w:tab w:val="num" w:pos="0"/>
        </w:tabs>
      </w:pPr>
      <w:rPr>
        <w:rFonts w:ascii="Symbol" w:hAnsi="Symbol"/>
        <w:sz w:val="14"/>
      </w:rPr>
    </w:lvl>
  </w:abstractNum>
  <w:abstractNum w:abstractNumId="3" w15:restartNumberingAfterBreak="0">
    <w:nsid w:val="23EC3D39"/>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 w15:restartNumberingAfterBreak="0">
    <w:nsid w:val="2F580434"/>
    <w:multiLevelType w:val="singleLevel"/>
    <w:tmpl w:val="0D0289A8"/>
    <w:lvl w:ilvl="0">
      <w:start w:val="1"/>
      <w:numFmt w:val="bullet"/>
      <w:lvlText w:val=""/>
      <w:lvlJc w:val="left"/>
      <w:pPr>
        <w:tabs>
          <w:tab w:val="num" w:pos="360"/>
        </w:tabs>
        <w:ind w:left="360" w:hanging="360"/>
      </w:pPr>
      <w:rPr>
        <w:rFonts w:ascii="Symbol" w:hAnsi="Symbol" w:hint="default"/>
        <w:sz w:val="22"/>
      </w:rPr>
    </w:lvl>
  </w:abstractNum>
  <w:abstractNum w:abstractNumId="5"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num w:numId="1">
    <w:abstractNumId w:val="1"/>
  </w:num>
  <w:num w:numId="2">
    <w:abstractNumId w:val="3"/>
  </w:num>
  <w:num w:numId="3">
    <w:abstractNumId w:val="5"/>
  </w:num>
  <w:num w:numId="4">
    <w:abstractNumId w:val="2"/>
  </w:num>
  <w:num w:numId="5">
    <w:abstractNumId w:val="0"/>
    <w:lvlOverride w:ilvl="0">
      <w:lvl w:ilvl="0">
        <w:numFmt w:val="bullet"/>
        <w:lvlText w:val=""/>
        <w:legacy w:legacy="1" w:legacySpace="0" w:legacyIndent="283"/>
        <w:lvlJc w:val="left"/>
        <w:pPr>
          <w:ind w:left="1134" w:hanging="283"/>
        </w:pPr>
        <w:rPr>
          <w:rFonts w:ascii="Symbol" w:hAnsi="Symbol" w:hint="default"/>
        </w:rPr>
      </w:lvl>
    </w:lvlOverride>
  </w:num>
  <w:num w:numId="6">
    <w:abstractNumId w:val="4"/>
  </w:num>
  <w:num w:numId="7">
    <w:abstractNumId w:val="0"/>
    <w:lvlOverride w:ilvl="0">
      <w:lvl w:ilvl="0">
        <w:numFmt w:val="bullet"/>
        <w:lvlText w:val=""/>
        <w:legacy w:legacy="1" w:legacySpace="0" w:legacyIndent="284"/>
        <w:lvlJc w:val="left"/>
        <w:pPr>
          <w:ind w:left="1419" w:hanging="284"/>
        </w:pPr>
        <w:rPr>
          <w:rFonts w:ascii="Symbol" w:hAnsi="Symbol" w:hint="default"/>
          <w:sz w:val="18"/>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displayBackgroundShape/>
  <w:embedSystemFonts/>
  <w:proofState w:spelling="clean" w:grammar="clean"/>
  <w:defaultTabStop w:val="708"/>
  <w:hyphenationZone w:val="425"/>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FCE5050A-CC48-467F-A939-795F5CEB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eastAsia="Times New Roman" w:hAnsi="Times New Roman"/>
      <w:lang w:val="fr-FR" w:eastAsia="ar-SA"/>
    </w:rPr>
  </w:style>
  <w:style w:type="paragraph" w:styleId="Titre1">
    <w:name w:val="heading 1"/>
    <w:basedOn w:val="Normal"/>
    <w:next w:val="Normal"/>
    <w:link w:val="Titre1Car"/>
    <w:uiPriority w:val="99"/>
    <w:qFormat/>
    <w:pPr>
      <w:keepNext/>
      <w:widowControl w:val="0"/>
      <w:numPr>
        <w:numId w:val="1"/>
      </w:numPr>
      <w:jc w:val="both"/>
      <w:outlineLvl w:val="0"/>
    </w:pPr>
    <w:rPr>
      <w:rFonts w:ascii="Calibri" w:hAnsi="Calibri"/>
      <w:sz w:val="24"/>
      <w:szCs w:val="24"/>
    </w:rPr>
  </w:style>
  <w:style w:type="paragraph" w:styleId="Titre2">
    <w:name w:val="heading 2"/>
    <w:basedOn w:val="Normal"/>
    <w:next w:val="Normal"/>
    <w:link w:val="Titre2Car"/>
    <w:uiPriority w:val="99"/>
    <w:qFormat/>
    <w:pPr>
      <w:keepNext/>
      <w:numPr>
        <w:ilvl w:val="1"/>
        <w:numId w:val="1"/>
      </w:numPr>
      <w:jc w:val="center"/>
      <w:outlineLvl w:val="1"/>
    </w:pPr>
    <w:rPr>
      <w:rFonts w:eastAsia="Calibri"/>
      <w:b/>
      <w:bCs/>
    </w:rPr>
  </w:style>
  <w:style w:type="paragraph" w:styleId="Titre3">
    <w:name w:val="heading 3"/>
    <w:basedOn w:val="Titre"/>
    <w:next w:val="Corpsdetexte"/>
    <w:link w:val="Titre3Car"/>
    <w:uiPriority w:val="99"/>
    <w:qFormat/>
    <w:pPr>
      <w:keepNext/>
      <w:numPr>
        <w:ilvl w:val="2"/>
        <w:numId w:val="1"/>
      </w:numPr>
      <w:pBdr>
        <w:bottom w:val="none" w:sz="0" w:space="0" w:color="auto"/>
      </w:pBdr>
      <w:spacing w:before="240" w:after="120"/>
      <w:outlineLvl w:val="2"/>
    </w:pPr>
    <w:rPr>
      <w:rFonts w:ascii="Arial" w:eastAsia="MS Mincho" w:hAnsi="Arial" w:cs="Tahoma"/>
      <w:b/>
      <w:bCs/>
      <w:color w:val="auto"/>
      <w:spacing w:val="0"/>
      <w:kern w:val="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eastAsia="Times New Roman"/>
      <w:sz w:val="24"/>
      <w:szCs w:val="24"/>
      <w:lang w:val="fr-FR" w:eastAsia="ar-SA"/>
    </w:rPr>
  </w:style>
  <w:style w:type="character" w:customStyle="1" w:styleId="Titre2Car">
    <w:name w:val="Titre 2 Car"/>
    <w:link w:val="Titre2"/>
    <w:uiPriority w:val="99"/>
    <w:locked/>
    <w:rPr>
      <w:rFonts w:ascii="Times New Roman" w:hAnsi="Times New Roman"/>
      <w:b/>
      <w:bCs/>
      <w:lang w:val="fr-FR" w:eastAsia="ar-SA"/>
    </w:rPr>
  </w:style>
  <w:style w:type="character" w:customStyle="1" w:styleId="Titre3Car">
    <w:name w:val="Titre 3 Car"/>
    <w:link w:val="Titre3"/>
    <w:uiPriority w:val="99"/>
    <w:locked/>
    <w:rPr>
      <w:rFonts w:ascii="Arial" w:eastAsia="MS Mincho" w:hAnsi="Arial" w:cs="Tahoma"/>
      <w:b/>
      <w:bCs/>
      <w:sz w:val="28"/>
      <w:szCs w:val="28"/>
      <w:lang w:val="fr-FR" w:eastAsia="ar-SA"/>
    </w:rPr>
  </w:style>
  <w:style w:type="paragraph" w:customStyle="1" w:styleId="Texte">
    <w:name w:val="Texte"/>
    <w:basedOn w:val="Normal"/>
    <w:uiPriority w:val="99"/>
    <w:pPr>
      <w:widowControl w:val="0"/>
    </w:pPr>
    <w:rPr>
      <w:rFonts w:ascii="MS Serif" w:hAnsi="MS Serif"/>
      <w:lang w:val="fr-BE"/>
    </w:rPr>
  </w:style>
  <w:style w:type="paragraph" w:styleId="En-tte">
    <w:name w:val="header"/>
    <w:basedOn w:val="Normal"/>
    <w:link w:val="En-tteCar"/>
    <w:uiPriority w:val="99"/>
    <w:pPr>
      <w:tabs>
        <w:tab w:val="center" w:pos="4536"/>
        <w:tab w:val="right" w:pos="9072"/>
      </w:tabs>
    </w:pPr>
    <w:rPr>
      <w:rFonts w:eastAsia="Calibri"/>
    </w:rPr>
  </w:style>
  <w:style w:type="character" w:customStyle="1" w:styleId="En-tteCar">
    <w:name w:val="En-tête Car"/>
    <w:link w:val="En-tte"/>
    <w:uiPriority w:val="99"/>
    <w:locked/>
    <w:rPr>
      <w:rFonts w:ascii="Times New Roman" w:hAnsi="Times New Roman" w:cs="Times New Roman"/>
      <w:sz w:val="20"/>
      <w:lang w:val="fr-FR" w:eastAsia="ar-SA" w:bidi="ar-SA"/>
    </w:rPr>
  </w:style>
  <w:style w:type="paragraph" w:styleId="Pieddepage">
    <w:name w:val="footer"/>
    <w:basedOn w:val="Normal"/>
    <w:link w:val="PieddepageCar"/>
    <w:uiPriority w:val="99"/>
    <w:pPr>
      <w:tabs>
        <w:tab w:val="center" w:pos="4536"/>
        <w:tab w:val="right" w:pos="9072"/>
      </w:tabs>
    </w:pPr>
    <w:rPr>
      <w:rFonts w:eastAsia="Calibri"/>
    </w:rPr>
  </w:style>
  <w:style w:type="character" w:customStyle="1" w:styleId="PieddepageCar">
    <w:name w:val="Pied de page Car"/>
    <w:link w:val="Pieddepage"/>
    <w:uiPriority w:val="99"/>
    <w:locked/>
    <w:rPr>
      <w:rFonts w:ascii="Times New Roman" w:hAnsi="Times New Roman" w:cs="Times New Roman"/>
      <w:sz w:val="20"/>
      <w:lang w:val="fr-FR" w:eastAsia="ar-SA" w:bidi="ar-SA"/>
    </w:rPr>
  </w:style>
  <w:style w:type="paragraph" w:styleId="NormalWeb">
    <w:name w:val="Normal (Web)"/>
    <w:basedOn w:val="Normal"/>
    <w:uiPriority w:val="99"/>
    <w:pPr>
      <w:suppressAutoHyphens w:val="0"/>
      <w:spacing w:before="100" w:beforeAutospacing="1" w:after="100" w:afterAutospacing="1"/>
    </w:pPr>
    <w:rPr>
      <w:sz w:val="24"/>
      <w:szCs w:val="24"/>
      <w:lang w:val="fr-BE" w:eastAsia="fr-BE"/>
    </w:rPr>
  </w:style>
  <w:style w:type="paragraph" w:styleId="Titre">
    <w:name w:val="Title"/>
    <w:basedOn w:val="Normal"/>
    <w:next w:val="Normal"/>
    <w:link w:val="TitreCar"/>
    <w:uiPriority w:val="99"/>
    <w:qFormat/>
    <w:pPr>
      <w:pBdr>
        <w:bottom w:val="single" w:sz="8" w:space="4" w:color="4F81BD"/>
      </w:pBdr>
      <w:spacing w:after="300"/>
    </w:pPr>
    <w:rPr>
      <w:rFonts w:ascii="Cambria" w:eastAsia="Calibri" w:hAnsi="Cambria"/>
      <w:color w:val="17365D"/>
      <w:spacing w:val="5"/>
      <w:kern w:val="28"/>
      <w:sz w:val="52"/>
      <w:szCs w:val="52"/>
    </w:rPr>
  </w:style>
  <w:style w:type="character" w:customStyle="1" w:styleId="TitreCar">
    <w:name w:val="Titre Car"/>
    <w:link w:val="Titre"/>
    <w:uiPriority w:val="99"/>
    <w:locked/>
    <w:rPr>
      <w:rFonts w:ascii="Cambria" w:hAnsi="Cambria" w:cs="Times New Roman"/>
      <w:color w:val="17365D"/>
      <w:spacing w:val="5"/>
      <w:kern w:val="28"/>
      <w:sz w:val="52"/>
      <w:lang w:val="fr-FR" w:eastAsia="ar-SA" w:bidi="ar-SA"/>
    </w:rPr>
  </w:style>
  <w:style w:type="paragraph" w:styleId="Corpsdetexte">
    <w:name w:val="Body Text"/>
    <w:basedOn w:val="Normal"/>
    <w:link w:val="CorpsdetexteCar"/>
    <w:uiPriority w:val="99"/>
    <w:semiHidden/>
    <w:pPr>
      <w:spacing w:after="120"/>
    </w:pPr>
    <w:rPr>
      <w:rFonts w:eastAsia="Calibri"/>
    </w:rPr>
  </w:style>
  <w:style w:type="character" w:customStyle="1" w:styleId="CorpsdetexteCar">
    <w:name w:val="Corps de texte Car"/>
    <w:link w:val="Corpsdetexte"/>
    <w:uiPriority w:val="99"/>
    <w:semiHidden/>
    <w:locked/>
    <w:rPr>
      <w:rFonts w:ascii="Times New Roman" w:hAnsi="Times New Roman" w:cs="Times New Roman"/>
      <w:sz w:val="20"/>
      <w:lang w:val="fr-FR" w:eastAsia="ar-SA" w:bidi="ar-SA"/>
    </w:rPr>
  </w:style>
  <w:style w:type="paragraph" w:styleId="Textedebulles">
    <w:name w:val="Balloon Text"/>
    <w:basedOn w:val="Normal"/>
    <w:link w:val="TextedebullesCar"/>
    <w:uiPriority w:val="99"/>
    <w:semiHidden/>
    <w:rPr>
      <w:rFonts w:ascii="Tahoma" w:eastAsia="Calibri" w:hAnsi="Tahoma" w:cs="Tahoma"/>
      <w:sz w:val="16"/>
      <w:szCs w:val="16"/>
    </w:rPr>
  </w:style>
  <w:style w:type="character" w:customStyle="1" w:styleId="TextedebullesCar">
    <w:name w:val="Texte de bulles Car"/>
    <w:link w:val="Textedebulles"/>
    <w:uiPriority w:val="99"/>
    <w:semiHidden/>
    <w:locked/>
    <w:rPr>
      <w:rFonts w:ascii="Tahoma" w:hAnsi="Tahoma" w:cs="Times New Roman"/>
      <w:sz w:val="16"/>
      <w:lang w:val="fr-FR" w:eastAsia="ar-SA" w:bidi="ar-SA"/>
    </w:rPr>
  </w:style>
  <w:style w:type="paragraph" w:styleId="Paragraphedeliste">
    <w:name w:val="List Paragraph"/>
    <w:basedOn w:val="Normal"/>
    <w:uiPriority w:val="99"/>
    <w:qFormat/>
    <w:pPr>
      <w:ind w:left="720"/>
    </w:pPr>
  </w:style>
  <w:style w:type="paragraph" w:styleId="Retraitcorpsdetexte">
    <w:name w:val="Body Text Indent"/>
    <w:basedOn w:val="Normal"/>
    <w:link w:val="RetraitcorpsdetexteCar"/>
    <w:uiPriority w:val="99"/>
    <w:pPr>
      <w:spacing w:after="120"/>
      <w:ind w:left="283"/>
    </w:pPr>
    <w:rPr>
      <w:rFonts w:eastAsia="Calibri"/>
    </w:rPr>
  </w:style>
  <w:style w:type="character" w:customStyle="1" w:styleId="RetraitcorpsdetexteCar">
    <w:name w:val="Retrait corps de texte Car"/>
    <w:link w:val="Retraitcorpsdetexte"/>
    <w:uiPriority w:val="99"/>
    <w:semiHidden/>
    <w:locked/>
    <w:rPr>
      <w:rFonts w:ascii="Times New Roman" w:hAnsi="Times New Roman" w:cs="Times New Roman"/>
      <w:sz w:val="20"/>
      <w:lang w:val="fr-FR" w:eastAsia="ar-SA" w:bidi="ar-SA"/>
    </w:rPr>
  </w:style>
  <w:style w:type="paragraph" w:customStyle="1" w:styleId="normal01">
    <w:name w:val="normal01"/>
    <w:basedOn w:val="Normal"/>
    <w:uiPriority w:val="99"/>
    <w:pPr>
      <w:widowControl w:val="0"/>
      <w:numPr>
        <w:numId w:val="4"/>
      </w:numPr>
      <w:spacing w:line="240" w:lineRule="atLeast"/>
    </w:pPr>
    <w:rPr>
      <w:rFonts w:eastAsia="Calibri"/>
      <w:sz w:val="22"/>
    </w:rPr>
  </w:style>
  <w:style w:type="paragraph" w:customStyle="1" w:styleId="Normaltxtdosped">
    <w:name w:val="Normal.txtdosped"/>
    <w:uiPriority w:val="99"/>
    <w:pPr>
      <w:autoSpaceDE w:val="0"/>
      <w:autoSpaceDN w:val="0"/>
    </w:pPr>
    <w:rPr>
      <w:rFonts w:ascii="Times New Roman" w:eastAsia="Times New Roman" w:hAnsi="Times New Roman"/>
      <w:lang w:val="fr-FR" w:eastAsia="fr-FR"/>
    </w:rPr>
  </w:style>
  <w:style w:type="paragraph" w:customStyle="1" w:styleId="Normalcentr1">
    <w:name w:val="Normal centré1"/>
    <w:basedOn w:val="Normal"/>
    <w:pPr>
      <w:widowControl w:val="0"/>
      <w:suppressAutoHyphens w:val="0"/>
      <w:ind w:left="426" w:right="-57"/>
      <w:jc w:val="both"/>
    </w:pPr>
    <w:rPr>
      <w:i/>
      <w:sz w:val="22"/>
      <w:lang w:eastAsia="fr-FR"/>
    </w:rPr>
  </w:style>
  <w:style w:type="paragraph" w:customStyle="1" w:styleId="Corpsdetexte21">
    <w:name w:val="Corps de texte 21"/>
    <w:basedOn w:val="Normal"/>
    <w:pPr>
      <w:widowControl w:val="0"/>
      <w:suppressAutoHyphens w:val="0"/>
      <w:ind w:left="426"/>
    </w:pPr>
    <w:rPr>
      <w:i/>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4892">
      <w:bodyDiv w:val="1"/>
      <w:marLeft w:val="0"/>
      <w:marRight w:val="0"/>
      <w:marTop w:val="0"/>
      <w:marBottom w:val="0"/>
      <w:divBdr>
        <w:top w:val="none" w:sz="0" w:space="0" w:color="auto"/>
        <w:left w:val="none" w:sz="0" w:space="0" w:color="auto"/>
        <w:bottom w:val="none" w:sz="0" w:space="0" w:color="auto"/>
        <w:right w:val="none" w:sz="0" w:space="0" w:color="auto"/>
      </w:divBdr>
    </w:div>
    <w:div w:id="179901643">
      <w:bodyDiv w:val="1"/>
      <w:marLeft w:val="0"/>
      <w:marRight w:val="0"/>
      <w:marTop w:val="0"/>
      <w:marBottom w:val="0"/>
      <w:divBdr>
        <w:top w:val="none" w:sz="0" w:space="0" w:color="auto"/>
        <w:left w:val="none" w:sz="0" w:space="0" w:color="auto"/>
        <w:bottom w:val="none" w:sz="0" w:space="0" w:color="auto"/>
        <w:right w:val="none" w:sz="0" w:space="0" w:color="auto"/>
      </w:divBdr>
    </w:div>
    <w:div w:id="437019059">
      <w:bodyDiv w:val="1"/>
      <w:marLeft w:val="0"/>
      <w:marRight w:val="0"/>
      <w:marTop w:val="0"/>
      <w:marBottom w:val="0"/>
      <w:divBdr>
        <w:top w:val="none" w:sz="0" w:space="0" w:color="auto"/>
        <w:left w:val="none" w:sz="0" w:space="0" w:color="auto"/>
        <w:bottom w:val="none" w:sz="0" w:space="0" w:color="auto"/>
        <w:right w:val="none" w:sz="0" w:space="0" w:color="auto"/>
      </w:divBdr>
    </w:div>
    <w:div w:id="537012866">
      <w:bodyDiv w:val="1"/>
      <w:marLeft w:val="0"/>
      <w:marRight w:val="0"/>
      <w:marTop w:val="0"/>
      <w:marBottom w:val="0"/>
      <w:divBdr>
        <w:top w:val="none" w:sz="0" w:space="0" w:color="auto"/>
        <w:left w:val="none" w:sz="0" w:space="0" w:color="auto"/>
        <w:bottom w:val="none" w:sz="0" w:space="0" w:color="auto"/>
        <w:right w:val="none" w:sz="0" w:space="0" w:color="auto"/>
      </w:divBdr>
    </w:div>
    <w:div w:id="615869187">
      <w:marLeft w:val="0"/>
      <w:marRight w:val="0"/>
      <w:marTop w:val="0"/>
      <w:marBottom w:val="0"/>
      <w:divBdr>
        <w:top w:val="none" w:sz="0" w:space="0" w:color="auto"/>
        <w:left w:val="none" w:sz="0" w:space="0" w:color="auto"/>
        <w:bottom w:val="none" w:sz="0" w:space="0" w:color="auto"/>
        <w:right w:val="none" w:sz="0" w:space="0" w:color="auto"/>
      </w:divBdr>
    </w:div>
    <w:div w:id="10720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7A79D21A-2E4C-4294-A828-82107FEA433F}"/>
</file>

<file path=customXml/itemProps2.xml><?xml version="1.0" encoding="utf-8"?>
<ds:datastoreItem xmlns:ds="http://schemas.openxmlformats.org/officeDocument/2006/customXml" ds:itemID="{EAF981A6-45FB-4F2C-90BC-59E72F8CB53F}"/>
</file>

<file path=customXml/itemProps3.xml><?xml version="1.0" encoding="utf-8"?>
<ds:datastoreItem xmlns:ds="http://schemas.openxmlformats.org/officeDocument/2006/customXml" ds:itemID="{66A88FD3-989B-4B39-A3B9-5D07412309FD}"/>
</file>

<file path=docProps/app.xml><?xml version="1.0" encoding="utf-8"?>
<Properties xmlns="http://schemas.openxmlformats.org/officeDocument/2006/extended-properties" xmlns:vt="http://schemas.openxmlformats.org/officeDocument/2006/docPropsVTypes">
  <Template>Normal.dotm</Template>
  <TotalTime>4</TotalTime>
  <Pages>4</Pages>
  <Words>704</Words>
  <Characters>3872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Institut Ferdinand Cocq Ixelles</Company>
  <LinksUpToDate>false</LinksUpToDate>
  <CharactersWithSpaces>4567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christiane</dc:creator>
  <cp:lastModifiedBy>goulet02</cp:lastModifiedBy>
  <cp:revision>5</cp:revision>
  <cp:lastPrinted>2018-03-20T20:10:00Z</cp:lastPrinted>
  <dcterms:created xsi:type="dcterms:W3CDTF">2019-02-27T10:25:00Z</dcterms:created>
  <dcterms:modified xsi:type="dcterms:W3CDTF">2019-09-02T09:38:00Z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