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center"/>
        <w:rPr>
          <w:rFonts w:ascii="Times New Roman" w:hAnsi="Times New Roman"/>
          <w:b/>
          <w:noProof w:val="0"/>
          <w:sz w:val="22"/>
        </w:rPr>
      </w:pPr>
      <w:r>
        <w:rPr>
          <w:rFonts w:ascii="Times New Roman" w:hAnsi="Times New Roman"/>
          <w:b/>
          <w:noProof w:val="0"/>
          <w:sz w:val="22"/>
        </w:rPr>
        <w:t xml:space="preserve">MINISTERE DE </w:t>
      </w:r>
      <w:smartTag w:uri="urn:schemas-microsoft-com:office:smarttags" w:element="PersonName">
        <w:smartTagPr>
          <w:attr w:name="ProductID" w:val="LA COMMUNAUTE FRANCAISE"/>
        </w:smartTagPr>
        <w:r>
          <w:rPr>
            <w:rFonts w:ascii="Times New Roman" w:hAnsi="Times New Roman"/>
            <w:b/>
            <w:noProof w:val="0"/>
            <w:sz w:val="22"/>
          </w:rPr>
          <w:t>LA COMMUNAUTE FRANCAISE</w:t>
        </w:r>
      </w:smartTag>
    </w:p>
    <w:p>
      <w:pPr>
        <w:pStyle w:val="Texte"/>
        <w:jc w:val="center"/>
        <w:rPr>
          <w:rFonts w:ascii="Times New Roman" w:hAnsi="Times New Roman"/>
          <w:b/>
          <w:noProof w:val="0"/>
          <w:sz w:val="22"/>
        </w:rPr>
      </w:pPr>
    </w:p>
    <w:p>
      <w:pPr>
        <w:pStyle w:val="Texte"/>
        <w:jc w:val="center"/>
        <w:rPr>
          <w:rFonts w:ascii="Times New Roman" w:hAnsi="Times New Roman"/>
          <w:b/>
          <w:noProof w:val="0"/>
          <w:sz w:val="18"/>
        </w:rPr>
      </w:pPr>
      <w:r>
        <w:rPr>
          <w:rFonts w:ascii="Times New Roman" w:hAnsi="Times New Roman"/>
          <w:b/>
          <w:noProof w:val="0"/>
          <w:sz w:val="18"/>
        </w:rPr>
        <w:t xml:space="preserve">ADMINISTRATION GENERALE DE L’ENSEIGNEMENT </w:t>
      </w:r>
    </w:p>
    <w:p>
      <w:pPr>
        <w:pStyle w:val="Texte"/>
        <w:jc w:val="center"/>
        <w:rPr>
          <w:rFonts w:ascii="Times New Roman" w:hAnsi="Times New Roman"/>
          <w:noProof w:val="0"/>
          <w:sz w:val="22"/>
        </w:rPr>
      </w:pPr>
    </w:p>
    <w:p>
      <w:pPr>
        <w:pStyle w:val="Texte"/>
        <w:jc w:val="center"/>
        <w:rPr>
          <w:rFonts w:ascii="Times New Roman" w:hAnsi="Times New Roman"/>
          <w:b/>
          <w:noProof w:val="0"/>
          <w:sz w:val="22"/>
        </w:rPr>
      </w:pPr>
      <w:r>
        <w:rPr>
          <w:rFonts w:ascii="Times New Roman" w:hAnsi="Times New Roman"/>
          <w:b/>
          <w:noProof w:val="0"/>
          <w:sz w:val="22"/>
        </w:rPr>
        <w:t xml:space="preserve">ENSEIGNEMENT DE PROMOTION SOCIALE </w:t>
      </w:r>
    </w:p>
    <w:p/>
    <w:p/>
    <w:p/>
    <w:p/>
    <w:p/>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rPr>
          <w:b/>
          <w:sz w:val="22"/>
        </w:rPr>
      </w:pPr>
      <w:r>
        <w:rPr>
          <w:b/>
          <w:sz w:val="22"/>
        </w:rPr>
        <w:t>UNITE D’ENSEIGNEMENT</w:t>
      </w:r>
    </w:p>
    <w:p>
      <w:pPr>
        <w:jc w:val="center"/>
        <w:rPr>
          <w:sz w:val="22"/>
        </w:rPr>
      </w:pPr>
    </w:p>
    <w:p>
      <w:pPr>
        <w:jc w:val="center"/>
        <w:rPr>
          <w:b/>
          <w:sz w:val="28"/>
          <w:szCs w:val="28"/>
        </w:rPr>
      </w:pPr>
      <w:r>
        <w:rPr>
          <w:b/>
          <w:sz w:val="28"/>
          <w:szCs w:val="28"/>
        </w:rPr>
        <w:t>ENREGISTREMENT ET SUCCESSIONS</w:t>
      </w:r>
    </w:p>
    <w:p>
      <w:pPr>
        <w:jc w:val="center"/>
        <w:rPr>
          <w:b/>
          <w:sz w:val="28"/>
          <w:szCs w:val="28"/>
        </w:rPr>
      </w:pPr>
    </w:p>
    <w:p>
      <w:pPr>
        <w:jc w:val="center"/>
      </w:pPr>
    </w:p>
    <w:p>
      <w:pPr>
        <w:widowControl/>
        <w:autoSpaceDN w:val="0"/>
        <w:snapToGrid w:val="0"/>
        <w:jc w:val="center"/>
        <w:rPr>
          <w:b/>
          <w:sz w:val="22"/>
        </w:rPr>
      </w:pPr>
      <w:r>
        <w:rPr>
          <w:b/>
          <w:sz w:val="22"/>
        </w:rPr>
        <w:t xml:space="preserve">ENSEIGNEMENT </w:t>
      </w:r>
      <w:r>
        <w:rPr>
          <w:b/>
          <w:caps/>
          <w:sz w:val="22"/>
        </w:rPr>
        <w:t>supérieur DE TYPE COURT</w:t>
      </w:r>
    </w:p>
    <w:p>
      <w:pPr>
        <w:widowControl/>
        <w:autoSpaceDN w:val="0"/>
        <w:snapToGrid w:val="0"/>
        <w:jc w:val="center"/>
        <w:rPr>
          <w:sz w:val="24"/>
          <w:szCs w:val="24"/>
        </w:rPr>
      </w:pPr>
    </w:p>
    <w:p>
      <w:pPr>
        <w:widowControl/>
        <w:autoSpaceDN w:val="0"/>
        <w:snapToGrid w:val="0"/>
        <w:jc w:val="center"/>
      </w:pPr>
      <w:r>
        <w:rPr>
          <w:b/>
          <w:smallCaps/>
          <w:spacing w:val="5"/>
          <w:sz w:val="24"/>
          <w:szCs w:val="24"/>
        </w:rPr>
        <w:t>Domaine : Sciences économiques et de gestion</w:t>
      </w: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Pr>
          <w:p>
            <w:pPr>
              <w:pStyle w:val="Texte"/>
              <w:jc w:val="center"/>
              <w:rPr>
                <w:rFonts w:ascii="Times New Roman" w:hAnsi="Times New Roman"/>
                <w:b/>
                <w:noProof w:val="0"/>
                <w:sz w:val="22"/>
              </w:rPr>
            </w:pPr>
          </w:p>
          <w:p>
            <w:pPr>
              <w:pStyle w:val="Texte"/>
              <w:jc w:val="center"/>
              <w:rPr>
                <w:rFonts w:ascii="Times New Roman" w:hAnsi="Times New Roman"/>
                <w:b/>
                <w:noProof w:val="0"/>
                <w:sz w:val="22"/>
              </w:rPr>
            </w:pPr>
            <w:r>
              <w:rPr>
                <w:rFonts w:ascii="Times New Roman" w:hAnsi="Times New Roman"/>
                <w:b/>
                <w:noProof w:val="0"/>
                <w:sz w:val="22"/>
              </w:rPr>
              <w:t>CODE : 71 23 04 U 32 D2</w:t>
            </w:r>
          </w:p>
        </w:tc>
      </w:tr>
      <w:tr>
        <w:tc>
          <w:tcPr>
            <w:tcW w:w="5529" w:type="dxa"/>
          </w:tcPr>
          <w:p>
            <w:pPr>
              <w:pStyle w:val="Texte"/>
              <w:jc w:val="center"/>
              <w:rPr>
                <w:rFonts w:ascii="Times New Roman" w:hAnsi="Times New Roman"/>
                <w:b/>
                <w:noProof w:val="0"/>
                <w:sz w:val="22"/>
              </w:rPr>
            </w:pPr>
            <w:r>
              <w:rPr>
                <w:rFonts w:ascii="Times New Roman" w:hAnsi="Times New Roman"/>
                <w:b/>
                <w:noProof w:val="0"/>
                <w:sz w:val="22"/>
              </w:rPr>
              <w:t>CODE DU DOMAINE DE FORMATION : 702</w:t>
            </w:r>
          </w:p>
        </w:tc>
      </w:tr>
      <w:tr>
        <w:tc>
          <w:tcPr>
            <w:tcW w:w="5529" w:type="dxa"/>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rPr>
          <w:b/>
          <w:strike/>
          <w:color w:val="4472C4"/>
        </w:rPr>
      </w:pPr>
      <w:r>
        <w:rPr>
          <w:b/>
        </w:rPr>
        <w:t xml:space="preserve">Approbation du Gouvernement de la Communauté française du 20 août 2018, </w:t>
      </w:r>
    </w:p>
    <w:p>
      <w:pPr>
        <w:jc w:val="center"/>
        <w:rPr>
          <w:b/>
        </w:rPr>
      </w:pPr>
      <w:r>
        <w:rPr>
          <w:b/>
        </w:rPr>
        <w:t>Sur avis conforme du Conseil général</w:t>
      </w:r>
      <w:r>
        <w:rPr>
          <w:b/>
        </w:rPr>
        <w:br w:type="page"/>
      </w:r>
    </w:p>
    <w:tbl>
      <w:tblPr>
        <w:tblW w:w="0" w:type="auto"/>
        <w:tblBorders>
          <w:top w:val="single" w:sz="6" w:space="0" w:color="auto"/>
          <w:left w:val="single" w:sz="6" w:space="0" w:color="auto"/>
          <w:bottom w:val="single" w:sz="30" w:space="0" w:color="auto"/>
          <w:right w:val="single" w:sz="30"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Pr>
          <w:p>
            <w:pPr>
              <w:jc w:val="center"/>
              <w:rPr>
                <w:b/>
              </w:rPr>
            </w:pPr>
            <w:r>
              <w:rPr>
                <w:b/>
                <w:sz w:val="28"/>
              </w:rPr>
              <w:br w:type="page"/>
            </w:r>
          </w:p>
          <w:p>
            <w:pPr>
              <w:jc w:val="center"/>
              <w:rPr>
                <w:b/>
                <w:sz w:val="28"/>
              </w:rPr>
            </w:pPr>
            <w:r>
              <w:rPr>
                <w:b/>
                <w:caps/>
                <w:sz w:val="28"/>
              </w:rPr>
              <w:t xml:space="preserve">ENREGISTREMENT ET SUCCESSIONS </w:t>
            </w:r>
          </w:p>
          <w:p>
            <w:pPr>
              <w:jc w:val="center"/>
              <w:rPr>
                <w:b/>
                <w:sz w:val="28"/>
              </w:rPr>
            </w:pPr>
          </w:p>
          <w:p>
            <w:pPr>
              <w:jc w:val="center"/>
              <w:rPr>
                <w:b/>
                <w:caps/>
              </w:rPr>
            </w:pPr>
            <w:r>
              <w:rPr>
                <w:b/>
                <w:caps/>
              </w:rPr>
              <w:t>enseignement supérieur de type court</w:t>
            </w:r>
          </w:p>
          <w:p>
            <w:pPr>
              <w:jc w:val="center"/>
              <w:rPr>
                <w:b/>
                <w:sz w:val="28"/>
              </w:rPr>
            </w:pPr>
          </w:p>
        </w:tc>
      </w:tr>
    </w:tbl>
    <w:p/>
    <w:p/>
    <w:p/>
    <w:p>
      <w:pPr>
        <w:tabs>
          <w:tab w:val="left" w:pos="360"/>
        </w:tabs>
        <w:jc w:val="both"/>
        <w:rPr>
          <w:b/>
          <w:sz w:val="22"/>
        </w:rPr>
      </w:pPr>
      <w:r>
        <w:rPr>
          <w:b/>
          <w:sz w:val="22"/>
        </w:rPr>
        <w:t>1.</w:t>
      </w:r>
      <w:r>
        <w:rPr>
          <w:b/>
          <w:sz w:val="22"/>
        </w:rPr>
        <w:tab/>
        <w:t>FINALITES DE L’UNITE D’ENSEIGNEMENT</w:t>
      </w:r>
    </w:p>
    <w:p>
      <w:pPr>
        <w:jc w:val="both"/>
      </w:pPr>
    </w:p>
    <w:p>
      <w:pPr>
        <w:tabs>
          <w:tab w:val="left" w:pos="900"/>
        </w:tabs>
        <w:ind w:left="425" w:hanging="65"/>
        <w:jc w:val="both"/>
        <w:rPr>
          <w:b/>
          <w:sz w:val="22"/>
        </w:rPr>
      </w:pPr>
      <w:r>
        <w:rPr>
          <w:b/>
          <w:sz w:val="22"/>
        </w:rPr>
        <w:t>1.1.</w:t>
      </w:r>
      <w:r>
        <w:rPr>
          <w:b/>
          <w:sz w:val="22"/>
        </w:rPr>
        <w:tab/>
        <w:t>Finalités générales</w:t>
      </w:r>
    </w:p>
    <w:p>
      <w:pPr>
        <w:jc w:val="both"/>
        <w:rPr>
          <w:sz w:val="22"/>
        </w:rPr>
      </w:pPr>
    </w:p>
    <w:p>
      <w:pPr>
        <w:ind w:left="851"/>
        <w:jc w:val="both"/>
        <w:rPr>
          <w:sz w:val="22"/>
        </w:rPr>
      </w:pPr>
      <w:r>
        <w:rPr>
          <w:sz w:val="22"/>
        </w:rPr>
        <w:t>Conformément à l’article 7 du décret de la Communauté française du 16 avril 1991 organisant l'enseignement de promotion sociale, cette unité d’enseignement doit :</w:t>
      </w:r>
    </w:p>
    <w:p>
      <w:pPr>
        <w:numPr>
          <w:ilvl w:val="0"/>
          <w:numId w:val="1"/>
        </w:numPr>
        <w:spacing w:before="120"/>
        <w:ind w:left="1135" w:hanging="284"/>
        <w:jc w:val="both"/>
        <w:rPr>
          <w:sz w:val="22"/>
        </w:rPr>
      </w:pPr>
      <w:r>
        <w:rPr>
          <w:sz w:val="22"/>
        </w:rPr>
        <w:t>concourir à l’épanouissement individuel en promouvant une meilleure insertion professionnelle, sociale, culturelle et scolaire ;</w:t>
      </w:r>
    </w:p>
    <w:p>
      <w:pPr>
        <w:numPr>
          <w:ilvl w:val="0"/>
          <w:numId w:val="1"/>
        </w:numPr>
        <w:spacing w:before="120"/>
        <w:ind w:left="1135" w:hanging="284"/>
        <w:jc w:val="both"/>
        <w:rPr>
          <w:sz w:val="22"/>
        </w:rPr>
      </w:pPr>
      <w:r>
        <w:rPr>
          <w:sz w:val="22"/>
        </w:rPr>
        <w:t>répondre aux besoins et demandes en formation émanant des entreprises, des administrations, de l’enseignement et d’une manière générale des milieux socio-économiques et culturels.</w:t>
      </w:r>
    </w:p>
    <w:p>
      <w:pPr>
        <w:numPr>
          <w:ilvl w:val="12"/>
          <w:numId w:val="0"/>
        </w:numPr>
        <w:jc w:val="both"/>
        <w:rPr>
          <w:sz w:val="22"/>
        </w:rPr>
      </w:pPr>
    </w:p>
    <w:p>
      <w:pPr>
        <w:tabs>
          <w:tab w:val="left" w:pos="900"/>
        </w:tabs>
        <w:ind w:left="425" w:hanging="65"/>
        <w:jc w:val="both"/>
        <w:rPr>
          <w:b/>
          <w:sz w:val="22"/>
        </w:rPr>
      </w:pPr>
      <w:r>
        <w:rPr>
          <w:b/>
          <w:sz w:val="22"/>
        </w:rPr>
        <w:t>1.2.</w:t>
      </w:r>
      <w:r>
        <w:rPr>
          <w:b/>
          <w:sz w:val="22"/>
        </w:rPr>
        <w:tab/>
        <w:t>Finalités particulières</w:t>
      </w:r>
    </w:p>
    <w:p>
      <w:pPr>
        <w:numPr>
          <w:ilvl w:val="12"/>
          <w:numId w:val="0"/>
        </w:numPr>
        <w:jc w:val="both"/>
        <w:rPr>
          <w:sz w:val="22"/>
        </w:rPr>
      </w:pPr>
    </w:p>
    <w:p>
      <w:pPr>
        <w:numPr>
          <w:ilvl w:val="12"/>
          <w:numId w:val="0"/>
        </w:numPr>
        <w:ind w:left="851"/>
        <w:jc w:val="both"/>
        <w:rPr>
          <w:sz w:val="22"/>
        </w:rPr>
      </w:pPr>
      <w:r>
        <w:rPr>
          <w:sz w:val="22"/>
        </w:rPr>
        <w:t>L’unité d’enseignement vise à permettre à l’étudiant :</w:t>
      </w:r>
    </w:p>
    <w:p>
      <w:pPr>
        <w:numPr>
          <w:ilvl w:val="0"/>
          <w:numId w:val="1"/>
        </w:numPr>
        <w:spacing w:before="120"/>
        <w:ind w:left="1135" w:hanging="284"/>
        <w:jc w:val="both"/>
        <w:rPr>
          <w:sz w:val="22"/>
        </w:rPr>
      </w:pPr>
      <w:r>
        <w:rPr>
          <w:sz w:val="22"/>
        </w:rPr>
        <w:t>d’acquérir des connaissances générales en matière de droits d’enregistrement et de successions ;</w:t>
      </w:r>
    </w:p>
    <w:p>
      <w:pPr>
        <w:numPr>
          <w:ilvl w:val="0"/>
          <w:numId w:val="1"/>
        </w:numPr>
        <w:spacing w:before="120"/>
        <w:ind w:left="1135" w:hanging="284"/>
        <w:jc w:val="both"/>
        <w:rPr>
          <w:sz w:val="22"/>
        </w:rPr>
      </w:pPr>
      <w:r>
        <w:rPr>
          <w:sz w:val="22"/>
        </w:rPr>
        <w:t xml:space="preserve">d’appliquer les dispositions du Code des droits d’enregistrement, d’hypothèque et de greffe et du Code des successions à des problèmes juridiques courants ; </w:t>
      </w:r>
    </w:p>
    <w:p>
      <w:pPr>
        <w:numPr>
          <w:ilvl w:val="0"/>
          <w:numId w:val="1"/>
        </w:numPr>
        <w:spacing w:before="120"/>
        <w:ind w:left="1135" w:hanging="284"/>
        <w:jc w:val="both"/>
        <w:rPr>
          <w:sz w:val="22"/>
        </w:rPr>
      </w:pPr>
      <w:r>
        <w:rPr>
          <w:sz w:val="22"/>
        </w:rPr>
        <w:t>d’établir une déclaration de succession ;</w:t>
      </w:r>
    </w:p>
    <w:p>
      <w:pPr>
        <w:numPr>
          <w:ilvl w:val="0"/>
          <w:numId w:val="1"/>
        </w:numPr>
        <w:spacing w:before="120"/>
        <w:ind w:left="1135" w:hanging="284"/>
        <w:jc w:val="both"/>
        <w:rPr>
          <w:sz w:val="22"/>
        </w:rPr>
      </w:pPr>
      <w:r>
        <w:rPr>
          <w:sz w:val="22"/>
        </w:rPr>
        <w:t>de connaître et utiliser les voies de recours dans ces matières ;</w:t>
      </w:r>
    </w:p>
    <w:p>
      <w:pPr>
        <w:numPr>
          <w:ilvl w:val="0"/>
          <w:numId w:val="1"/>
        </w:numPr>
        <w:spacing w:before="120"/>
        <w:ind w:left="1135" w:hanging="284"/>
        <w:jc w:val="both"/>
        <w:rPr>
          <w:sz w:val="22"/>
        </w:rPr>
      </w:pPr>
      <w:r>
        <w:rPr>
          <w:sz w:val="22"/>
        </w:rPr>
        <w:t>d’actualiser et de vérifier ses connaissances par la consultation et le tri d’informations juridiques ;</w:t>
      </w:r>
    </w:p>
    <w:p>
      <w:pPr>
        <w:numPr>
          <w:ilvl w:val="0"/>
          <w:numId w:val="1"/>
        </w:numPr>
        <w:spacing w:before="120"/>
        <w:ind w:left="1135" w:hanging="284"/>
        <w:jc w:val="both"/>
        <w:rPr>
          <w:sz w:val="22"/>
        </w:rPr>
      </w:pPr>
      <w:r>
        <w:rPr>
          <w:sz w:val="22"/>
        </w:rPr>
        <w:t>de porter un regard critique sur les fondements de la législation relative à ces types d’impôts indirects.</w:t>
      </w:r>
    </w:p>
    <w:p>
      <w:pPr>
        <w:numPr>
          <w:ilvl w:val="12"/>
          <w:numId w:val="0"/>
        </w:numPr>
        <w:jc w:val="both"/>
        <w:rPr>
          <w:sz w:val="22"/>
        </w:rPr>
      </w:pPr>
    </w:p>
    <w:p>
      <w:pPr>
        <w:numPr>
          <w:ilvl w:val="12"/>
          <w:numId w:val="0"/>
        </w:numPr>
        <w:jc w:val="both"/>
        <w:rPr>
          <w:sz w:val="22"/>
        </w:rPr>
      </w:pPr>
    </w:p>
    <w:p>
      <w:pPr>
        <w:tabs>
          <w:tab w:val="left" w:pos="360"/>
        </w:tabs>
        <w:jc w:val="both"/>
        <w:rPr>
          <w:b/>
          <w:sz w:val="22"/>
        </w:rPr>
      </w:pPr>
      <w:r>
        <w:rPr>
          <w:b/>
          <w:sz w:val="22"/>
        </w:rPr>
        <w:t>2.</w:t>
      </w:r>
      <w:r>
        <w:rPr>
          <w:b/>
          <w:sz w:val="22"/>
        </w:rPr>
        <w:tab/>
        <w:t>CAPACITES PREALABLES REQUISES</w:t>
      </w:r>
    </w:p>
    <w:p>
      <w:pPr>
        <w:numPr>
          <w:ilvl w:val="12"/>
          <w:numId w:val="0"/>
        </w:numPr>
        <w:rPr>
          <w:sz w:val="22"/>
        </w:rPr>
      </w:pPr>
    </w:p>
    <w:p>
      <w:pPr>
        <w:numPr>
          <w:ilvl w:val="1"/>
          <w:numId w:val="3"/>
        </w:numPr>
        <w:rPr>
          <w:b/>
          <w:sz w:val="22"/>
        </w:rPr>
      </w:pPr>
      <w:r>
        <w:rPr>
          <w:b/>
          <w:sz w:val="22"/>
        </w:rPr>
        <w:t>Capacités</w:t>
      </w:r>
    </w:p>
    <w:p>
      <w:pPr>
        <w:ind w:left="425"/>
        <w:jc w:val="both"/>
        <w:rPr>
          <w:b/>
          <w:sz w:val="22"/>
        </w:rPr>
      </w:pPr>
    </w:p>
    <w:p>
      <w:pPr>
        <w:ind w:left="425" w:firstLine="475"/>
        <w:jc w:val="both"/>
        <w:rPr>
          <w:b/>
          <w:sz w:val="22"/>
        </w:rPr>
      </w:pPr>
      <w:r>
        <w:rPr>
          <w:b/>
          <w:sz w:val="22"/>
        </w:rPr>
        <w:t>En droit civil,</w:t>
      </w:r>
    </w:p>
    <w:p>
      <w:pPr>
        <w:ind w:left="425" w:firstLine="475"/>
        <w:jc w:val="both"/>
        <w:rPr>
          <w:b/>
          <w:sz w:val="22"/>
        </w:rPr>
      </w:pPr>
    </w:p>
    <w:p>
      <w:pPr>
        <w:pStyle w:val="Retraitcorpsdetexte2"/>
        <w:spacing w:after="120"/>
        <w:ind w:left="900"/>
      </w:pPr>
      <w:r>
        <w:t>face à des situations juridiques simples, concernant les personnes, les biens, les contrats et les obligations :</w:t>
      </w:r>
    </w:p>
    <w:p>
      <w:pPr>
        <w:widowControl/>
        <w:numPr>
          <w:ilvl w:val="0"/>
          <w:numId w:val="1"/>
        </w:numPr>
        <w:spacing w:after="120"/>
        <w:ind w:left="1184" w:hanging="284"/>
        <w:rPr>
          <w:sz w:val="22"/>
        </w:rPr>
      </w:pPr>
      <w:r>
        <w:rPr>
          <w:sz w:val="22"/>
        </w:rPr>
        <w:t>analyser et d’abstraire la situation juridique correspondante par le recours aux règles de droit civil la régissant et en utilisant le vocabulaire adéquat ;</w:t>
      </w:r>
    </w:p>
    <w:p>
      <w:pPr>
        <w:widowControl/>
        <w:numPr>
          <w:ilvl w:val="0"/>
          <w:numId w:val="1"/>
        </w:numPr>
        <w:spacing w:after="120"/>
        <w:ind w:left="1184" w:hanging="284"/>
        <w:rPr>
          <w:sz w:val="22"/>
        </w:rPr>
      </w:pPr>
      <w:r>
        <w:rPr>
          <w:sz w:val="22"/>
        </w:rPr>
        <w:t>les résoudre par l’application des notions de droit civil qui les régissent.</w:t>
      </w:r>
    </w:p>
    <w:p>
      <w:pPr>
        <w:ind w:left="900"/>
        <w:jc w:val="both"/>
        <w:rPr>
          <w:b/>
          <w:sz w:val="22"/>
        </w:rPr>
      </w:pPr>
    </w:p>
    <w:p>
      <w:pPr>
        <w:numPr>
          <w:ilvl w:val="12"/>
          <w:numId w:val="0"/>
        </w:numPr>
        <w:spacing w:line="360" w:lineRule="auto"/>
        <w:ind w:left="284"/>
        <w:rPr>
          <w:sz w:val="22"/>
        </w:rPr>
      </w:pPr>
    </w:p>
    <w:p>
      <w:pPr>
        <w:tabs>
          <w:tab w:val="left" w:pos="900"/>
        </w:tabs>
        <w:ind w:left="425"/>
        <w:rPr>
          <w:b/>
          <w:sz w:val="22"/>
        </w:rPr>
      </w:pPr>
      <w:r>
        <w:rPr>
          <w:b/>
          <w:sz w:val="22"/>
        </w:rPr>
        <w:t>2.2.</w:t>
      </w:r>
      <w:r>
        <w:rPr>
          <w:b/>
          <w:sz w:val="22"/>
        </w:rPr>
        <w:tab/>
        <w:t>Titre pouvant en tenir lieu</w:t>
      </w:r>
    </w:p>
    <w:p>
      <w:pPr>
        <w:numPr>
          <w:ilvl w:val="12"/>
          <w:numId w:val="0"/>
        </w:numPr>
        <w:jc w:val="both"/>
        <w:rPr>
          <w:sz w:val="22"/>
        </w:rPr>
      </w:pPr>
    </w:p>
    <w:p>
      <w:pPr>
        <w:numPr>
          <w:ilvl w:val="12"/>
          <w:numId w:val="0"/>
        </w:numPr>
        <w:ind w:left="709"/>
        <w:jc w:val="both"/>
        <w:rPr>
          <w:sz w:val="22"/>
        </w:rPr>
      </w:pPr>
      <w:r>
        <w:rPr>
          <w:sz w:val="22"/>
        </w:rPr>
        <w:t>Attestation de réussite de l’unité d’enseignement « </w:t>
      </w:r>
      <w:r>
        <w:rPr>
          <w:b/>
          <w:sz w:val="22"/>
        </w:rPr>
        <w:t>DROIT CIVIL</w:t>
      </w:r>
      <w:r>
        <w:rPr>
          <w:sz w:val="22"/>
        </w:rPr>
        <w:t> » code N° 713201 U32D3</w:t>
      </w:r>
      <w:bookmarkStart w:id="0" w:name="_GoBack"/>
      <w:bookmarkEnd w:id="0"/>
      <w:r>
        <w:rPr>
          <w:sz w:val="22"/>
        </w:rPr>
        <w:t>.</w:t>
      </w:r>
    </w:p>
    <w:p>
      <w:pPr>
        <w:numPr>
          <w:ilvl w:val="12"/>
          <w:numId w:val="0"/>
        </w:numPr>
        <w:rPr>
          <w:sz w:val="22"/>
        </w:rPr>
      </w:pPr>
    </w:p>
    <w:p>
      <w:pPr>
        <w:numPr>
          <w:ilvl w:val="12"/>
          <w:numId w:val="0"/>
        </w:numPr>
        <w:jc w:val="both"/>
        <w:rPr>
          <w:sz w:val="22"/>
        </w:rPr>
      </w:pPr>
    </w:p>
    <w:p>
      <w:pPr>
        <w:numPr>
          <w:ilvl w:val="12"/>
          <w:numId w:val="0"/>
        </w:numPr>
        <w:tabs>
          <w:tab w:val="left" w:pos="360"/>
        </w:tabs>
        <w:rPr>
          <w:b/>
          <w:sz w:val="22"/>
        </w:rPr>
      </w:pPr>
      <w:r>
        <w:rPr>
          <w:b/>
          <w:sz w:val="22"/>
        </w:rPr>
        <w:t>3.</w:t>
      </w:r>
      <w:r>
        <w:rPr>
          <w:b/>
          <w:sz w:val="22"/>
        </w:rPr>
        <w:tab/>
        <w:t>ACQUIS D’APPRENTISSAGE</w:t>
      </w:r>
    </w:p>
    <w:p>
      <w:pPr>
        <w:numPr>
          <w:ilvl w:val="12"/>
          <w:numId w:val="0"/>
        </w:numPr>
        <w:jc w:val="both"/>
        <w:rPr>
          <w:sz w:val="22"/>
        </w:rPr>
      </w:pPr>
    </w:p>
    <w:p>
      <w:pPr>
        <w:numPr>
          <w:ilvl w:val="12"/>
          <w:numId w:val="0"/>
        </w:numPr>
        <w:ind w:left="426"/>
        <w:jc w:val="both"/>
        <w:rPr>
          <w:b/>
          <w:sz w:val="22"/>
        </w:rPr>
      </w:pPr>
      <w:r>
        <w:rPr>
          <w:b/>
          <w:sz w:val="22"/>
        </w:rPr>
        <w:t>Pour atteindre le seuil de réussite, l’étudiant sera capable :</w:t>
      </w:r>
    </w:p>
    <w:p>
      <w:pPr>
        <w:pStyle w:val="Retraitcorpsdetexte2"/>
        <w:spacing w:before="120" w:after="120"/>
        <w:ind w:left="425"/>
        <w:jc w:val="both"/>
      </w:pPr>
      <w:r>
        <w:t>face à des problèmes juridiques simples, concernant les droits d’enregistrement et les droits de successions,</w:t>
      </w:r>
    </w:p>
    <w:p>
      <w:pPr>
        <w:widowControl/>
        <w:numPr>
          <w:ilvl w:val="0"/>
          <w:numId w:val="1"/>
        </w:numPr>
        <w:spacing w:after="120"/>
        <w:ind w:left="708"/>
        <w:jc w:val="both"/>
        <w:rPr>
          <w:sz w:val="22"/>
        </w:rPr>
      </w:pPr>
      <w:r>
        <w:rPr>
          <w:sz w:val="22"/>
        </w:rPr>
        <w:t>d’analyser et d’abstraire la situation juridique correspondante par le recours aux règles de droit la régissant et en utilisant le vocabulaire adéquat ;</w:t>
      </w:r>
    </w:p>
    <w:p>
      <w:pPr>
        <w:widowControl/>
        <w:numPr>
          <w:ilvl w:val="0"/>
          <w:numId w:val="1"/>
        </w:numPr>
        <w:spacing w:after="120"/>
        <w:ind w:left="709" w:hanging="284"/>
        <w:jc w:val="both"/>
        <w:rPr>
          <w:sz w:val="22"/>
        </w:rPr>
      </w:pPr>
      <w:r>
        <w:rPr>
          <w:sz w:val="22"/>
        </w:rPr>
        <w:t>de calculer les droits d’enregistrement et de successions la concernant ;</w:t>
      </w:r>
    </w:p>
    <w:p>
      <w:pPr>
        <w:widowControl/>
        <w:numPr>
          <w:ilvl w:val="0"/>
          <w:numId w:val="1"/>
        </w:numPr>
        <w:spacing w:after="120"/>
        <w:ind w:left="709" w:hanging="284"/>
        <w:jc w:val="both"/>
        <w:rPr>
          <w:sz w:val="22"/>
        </w:rPr>
      </w:pPr>
      <w:r>
        <w:rPr>
          <w:sz w:val="22"/>
        </w:rPr>
        <w:t>de rédiger une déclaration de succession ;</w:t>
      </w:r>
    </w:p>
    <w:p>
      <w:pPr>
        <w:widowControl/>
        <w:numPr>
          <w:ilvl w:val="0"/>
          <w:numId w:val="1"/>
        </w:numPr>
        <w:spacing w:after="120"/>
        <w:ind w:left="709" w:hanging="284"/>
        <w:jc w:val="both"/>
        <w:rPr>
          <w:sz w:val="22"/>
        </w:rPr>
      </w:pPr>
      <w:r>
        <w:rPr>
          <w:sz w:val="22"/>
        </w:rPr>
        <w:t>de prévenir les litiges qui y sont relatifs ;</w:t>
      </w:r>
    </w:p>
    <w:p>
      <w:pPr>
        <w:widowControl/>
        <w:numPr>
          <w:ilvl w:val="0"/>
          <w:numId w:val="1"/>
        </w:numPr>
        <w:ind w:left="709"/>
        <w:jc w:val="both"/>
        <w:rPr>
          <w:sz w:val="22"/>
        </w:rPr>
      </w:pPr>
      <w:r>
        <w:rPr>
          <w:sz w:val="22"/>
        </w:rPr>
        <w:t>de structurer et de justifier la démarche juridique mise en œuvre.</w:t>
      </w:r>
    </w:p>
    <w:p>
      <w:pPr>
        <w:numPr>
          <w:ilvl w:val="12"/>
          <w:numId w:val="0"/>
        </w:numPr>
        <w:ind w:left="284"/>
        <w:jc w:val="both"/>
        <w:rPr>
          <w:sz w:val="22"/>
        </w:rPr>
      </w:pPr>
    </w:p>
    <w:p>
      <w:pPr>
        <w:numPr>
          <w:ilvl w:val="12"/>
          <w:numId w:val="0"/>
        </w:numPr>
        <w:ind w:left="709" w:hanging="283"/>
        <w:jc w:val="both"/>
        <w:rPr>
          <w:sz w:val="22"/>
        </w:rPr>
      </w:pPr>
    </w:p>
    <w:p>
      <w:pPr>
        <w:numPr>
          <w:ilvl w:val="12"/>
          <w:numId w:val="0"/>
        </w:numPr>
        <w:spacing w:line="360" w:lineRule="auto"/>
        <w:ind w:left="426"/>
        <w:jc w:val="both"/>
        <w:rPr>
          <w:b/>
          <w:sz w:val="22"/>
        </w:rPr>
      </w:pPr>
      <w:r>
        <w:rPr>
          <w:b/>
          <w:sz w:val="22"/>
        </w:rPr>
        <w:t>Pour la détermination du degré de maîtrise, il sera tenu compte des critères suivants :</w:t>
      </w:r>
    </w:p>
    <w:p>
      <w:pPr>
        <w:widowControl/>
        <w:numPr>
          <w:ilvl w:val="0"/>
          <w:numId w:val="1"/>
        </w:numPr>
        <w:spacing w:after="120"/>
        <w:ind w:left="709" w:hanging="284"/>
        <w:jc w:val="both"/>
        <w:rPr>
          <w:sz w:val="22"/>
        </w:rPr>
      </w:pPr>
      <w:r>
        <w:rPr>
          <w:sz w:val="22"/>
        </w:rPr>
        <w:t>la capacité d'analyse,</w:t>
      </w:r>
    </w:p>
    <w:p>
      <w:pPr>
        <w:widowControl/>
        <w:numPr>
          <w:ilvl w:val="0"/>
          <w:numId w:val="1"/>
        </w:numPr>
        <w:spacing w:after="120"/>
        <w:ind w:left="709" w:hanging="284"/>
        <w:jc w:val="both"/>
        <w:rPr>
          <w:sz w:val="22"/>
        </w:rPr>
      </w:pPr>
      <w:r>
        <w:rPr>
          <w:sz w:val="22"/>
        </w:rPr>
        <w:t>la pertinence des procédures appliquées,</w:t>
      </w:r>
    </w:p>
    <w:p>
      <w:pPr>
        <w:widowControl/>
        <w:numPr>
          <w:ilvl w:val="0"/>
          <w:numId w:val="1"/>
        </w:numPr>
        <w:spacing w:after="120"/>
        <w:ind w:left="709" w:hanging="284"/>
        <w:jc w:val="both"/>
        <w:rPr>
          <w:sz w:val="22"/>
        </w:rPr>
      </w:pPr>
      <w:r>
        <w:rPr>
          <w:sz w:val="22"/>
        </w:rPr>
        <w:t>la logique de l'argumentation,</w:t>
      </w:r>
    </w:p>
    <w:p>
      <w:pPr>
        <w:widowControl/>
        <w:numPr>
          <w:ilvl w:val="0"/>
          <w:numId w:val="1"/>
        </w:numPr>
        <w:ind w:left="709" w:hanging="284"/>
        <w:jc w:val="both"/>
        <w:rPr>
          <w:sz w:val="22"/>
        </w:rPr>
      </w:pPr>
      <w:r>
        <w:rPr>
          <w:sz w:val="22"/>
        </w:rPr>
        <w:t>le niveau de précision et de clarté dans l'emploi du langage fiscal.</w:t>
      </w:r>
    </w:p>
    <w:p>
      <w:pPr>
        <w:ind w:left="425"/>
        <w:rPr>
          <w:sz w:val="22"/>
        </w:rPr>
      </w:pPr>
    </w:p>
    <w:p>
      <w:pPr>
        <w:numPr>
          <w:ilvl w:val="12"/>
          <w:numId w:val="0"/>
        </w:numPr>
        <w:rPr>
          <w:b/>
          <w:sz w:val="22"/>
        </w:rPr>
      </w:pPr>
    </w:p>
    <w:p>
      <w:pPr>
        <w:numPr>
          <w:ilvl w:val="12"/>
          <w:numId w:val="0"/>
        </w:numPr>
        <w:tabs>
          <w:tab w:val="left" w:pos="360"/>
        </w:tabs>
        <w:rPr>
          <w:b/>
          <w:sz w:val="22"/>
        </w:rPr>
      </w:pPr>
      <w:r>
        <w:rPr>
          <w:b/>
          <w:sz w:val="22"/>
        </w:rPr>
        <w:t>4.</w:t>
      </w:r>
      <w:r>
        <w:rPr>
          <w:b/>
          <w:sz w:val="22"/>
        </w:rPr>
        <w:tab/>
        <w:t>PROGRAMME</w:t>
      </w:r>
    </w:p>
    <w:p>
      <w:pPr>
        <w:numPr>
          <w:ilvl w:val="12"/>
          <w:numId w:val="0"/>
        </w:numPr>
        <w:jc w:val="both"/>
        <w:rPr>
          <w:sz w:val="22"/>
        </w:rPr>
      </w:pPr>
    </w:p>
    <w:p>
      <w:pPr>
        <w:numPr>
          <w:ilvl w:val="12"/>
          <w:numId w:val="0"/>
        </w:numPr>
        <w:ind w:left="426"/>
        <w:jc w:val="both"/>
        <w:rPr>
          <w:b/>
          <w:sz w:val="22"/>
        </w:rPr>
      </w:pPr>
      <w:r>
        <w:rPr>
          <w:b/>
          <w:sz w:val="22"/>
        </w:rPr>
        <w:t>L'étudiant sera capable :</w:t>
      </w:r>
    </w:p>
    <w:p>
      <w:pPr>
        <w:numPr>
          <w:ilvl w:val="12"/>
          <w:numId w:val="0"/>
        </w:numPr>
        <w:spacing w:before="120"/>
        <w:ind w:left="425"/>
        <w:jc w:val="both"/>
        <w:rPr>
          <w:i/>
          <w:sz w:val="22"/>
        </w:rPr>
      </w:pPr>
      <w:r>
        <w:rPr>
          <w:i/>
          <w:sz w:val="22"/>
        </w:rPr>
        <w:t>face à des situations de la vie courante (privée et professionnelle) mettant en jeu des problématiques de droits d’enregistrement ou de droits de successions, des textes législatifs actualisés y afférents étant mis à sa disposition,</w:t>
      </w:r>
    </w:p>
    <w:p>
      <w:pPr>
        <w:numPr>
          <w:ilvl w:val="0"/>
          <w:numId w:val="1"/>
        </w:numPr>
        <w:spacing w:before="120"/>
        <w:ind w:left="709" w:hanging="284"/>
        <w:jc w:val="both"/>
        <w:rPr>
          <w:sz w:val="22"/>
        </w:rPr>
      </w:pPr>
      <w:r>
        <w:rPr>
          <w:sz w:val="22"/>
        </w:rPr>
        <w:t>de s’approprier les concepts de base et les éléments essentiels en matière de droits d’enregistrement et en matière de droits de successions ;</w:t>
      </w:r>
    </w:p>
    <w:p>
      <w:pPr>
        <w:numPr>
          <w:ilvl w:val="0"/>
          <w:numId w:val="1"/>
        </w:numPr>
        <w:spacing w:before="120"/>
        <w:ind w:left="709" w:hanging="284"/>
        <w:jc w:val="both"/>
        <w:rPr>
          <w:sz w:val="22"/>
        </w:rPr>
      </w:pPr>
      <w:r>
        <w:rPr>
          <w:sz w:val="22"/>
        </w:rPr>
        <w:t xml:space="preserve">d'appliquer les dispositions du Code des droits d’enregistrement, d’hypothèque et de greffe, du Code des successions et les procédures réglementaires en vigueur, en justifiant la pertinence de ses choix pour : </w:t>
      </w:r>
    </w:p>
    <w:p>
      <w:pPr>
        <w:numPr>
          <w:ilvl w:val="0"/>
          <w:numId w:val="6"/>
        </w:numPr>
        <w:tabs>
          <w:tab w:val="clear" w:pos="2080"/>
          <w:tab w:val="num" w:pos="1080"/>
        </w:tabs>
        <w:spacing w:before="60"/>
        <w:ind w:left="1077" w:hanging="357"/>
        <w:jc w:val="both"/>
        <w:rPr>
          <w:sz w:val="22"/>
        </w:rPr>
      </w:pPr>
      <w:r>
        <w:rPr>
          <w:sz w:val="22"/>
        </w:rPr>
        <w:t>identifier les opérations ;</w:t>
      </w:r>
    </w:p>
    <w:p>
      <w:pPr>
        <w:numPr>
          <w:ilvl w:val="0"/>
          <w:numId w:val="6"/>
        </w:numPr>
        <w:tabs>
          <w:tab w:val="clear" w:pos="2080"/>
          <w:tab w:val="num" w:pos="1080"/>
        </w:tabs>
        <w:spacing w:before="60"/>
        <w:ind w:left="1077" w:hanging="357"/>
        <w:jc w:val="both"/>
        <w:rPr>
          <w:sz w:val="22"/>
        </w:rPr>
      </w:pPr>
      <w:r>
        <w:rPr>
          <w:sz w:val="22"/>
        </w:rPr>
        <w:t>calculer les droits à la base de ces opérations ;</w:t>
      </w:r>
    </w:p>
    <w:p>
      <w:pPr>
        <w:numPr>
          <w:ilvl w:val="0"/>
          <w:numId w:val="6"/>
        </w:numPr>
        <w:tabs>
          <w:tab w:val="clear" w:pos="2080"/>
          <w:tab w:val="num" w:pos="1080"/>
        </w:tabs>
        <w:spacing w:before="60"/>
        <w:ind w:left="1077" w:hanging="357"/>
        <w:jc w:val="both"/>
        <w:rPr>
          <w:sz w:val="22"/>
        </w:rPr>
      </w:pPr>
      <w:r>
        <w:rPr>
          <w:sz w:val="22"/>
        </w:rPr>
        <w:t>rédiger une déclaration de succession ;</w:t>
      </w:r>
    </w:p>
    <w:p>
      <w:pPr>
        <w:numPr>
          <w:ilvl w:val="0"/>
          <w:numId w:val="6"/>
        </w:numPr>
        <w:tabs>
          <w:tab w:val="clear" w:pos="2080"/>
          <w:tab w:val="num" w:pos="1080"/>
        </w:tabs>
        <w:spacing w:before="60"/>
        <w:ind w:left="1077" w:hanging="357"/>
        <w:jc w:val="both"/>
        <w:rPr>
          <w:sz w:val="22"/>
        </w:rPr>
      </w:pPr>
      <w:r>
        <w:rPr>
          <w:sz w:val="22"/>
        </w:rPr>
        <w:t>traiter un recours dans ces matières ;</w:t>
      </w:r>
    </w:p>
    <w:p>
      <w:pPr>
        <w:numPr>
          <w:ilvl w:val="0"/>
          <w:numId w:val="1"/>
        </w:numPr>
        <w:spacing w:before="120"/>
        <w:ind w:left="709" w:hanging="284"/>
        <w:jc w:val="both"/>
        <w:rPr>
          <w:sz w:val="22"/>
        </w:rPr>
      </w:pPr>
      <w:r>
        <w:rPr>
          <w:sz w:val="22"/>
        </w:rPr>
        <w:t>de se constituer une documentation actualisée utilisable dans la vie professionnelle et axée sur l’analyse de cas courants régis par le Code des droits d’enregistrement, d’hypothèque et de greffe et par le Code des successions.</w:t>
      </w:r>
    </w:p>
    <w:p>
      <w:pPr>
        <w:rPr>
          <w:sz w:val="22"/>
        </w:rPr>
      </w:pPr>
    </w:p>
    <w:p>
      <w:pPr>
        <w:rPr>
          <w:sz w:val="22"/>
        </w:rPr>
      </w:pPr>
    </w:p>
    <w:p>
      <w:pPr>
        <w:numPr>
          <w:ilvl w:val="12"/>
          <w:numId w:val="0"/>
        </w:numPr>
        <w:tabs>
          <w:tab w:val="left" w:pos="360"/>
        </w:tabs>
        <w:rPr>
          <w:b/>
          <w:sz w:val="22"/>
        </w:rPr>
      </w:pPr>
      <w:r>
        <w:rPr>
          <w:b/>
          <w:sz w:val="22"/>
        </w:rPr>
        <w:t>5.</w:t>
      </w:r>
      <w:r>
        <w:rPr>
          <w:b/>
          <w:sz w:val="22"/>
        </w:rPr>
        <w:tab/>
        <w:t>CHARGE(S) DE COURS</w:t>
      </w:r>
    </w:p>
    <w:p>
      <w:pPr>
        <w:rPr>
          <w:sz w:val="22"/>
        </w:rPr>
      </w:pPr>
    </w:p>
    <w:p>
      <w:pPr>
        <w:ind w:left="426"/>
        <w:jc w:val="both"/>
        <w:rPr>
          <w:sz w:val="22"/>
        </w:rPr>
      </w:pPr>
      <w:r>
        <w:rPr>
          <w:sz w:val="22"/>
        </w:rPr>
        <w:t>Un enseignant</w:t>
      </w:r>
      <w:r>
        <w:rPr>
          <w:color w:val="FF0000"/>
          <w:sz w:val="22"/>
        </w:rPr>
        <w:t xml:space="preserve"> </w:t>
      </w:r>
      <w:r>
        <w:rPr>
          <w:sz w:val="22"/>
        </w:rPr>
        <w:t>ou un expert.</w:t>
      </w:r>
    </w:p>
    <w:p>
      <w:pPr>
        <w:ind w:left="426"/>
        <w:jc w:val="both"/>
        <w:rPr>
          <w:sz w:val="22"/>
        </w:rPr>
      </w:pPr>
      <w:r>
        <w:rPr>
          <w:sz w:val="22"/>
        </w:rPr>
        <w:t>L’expert sera un spécialiste disposant d'une compétence professionnelle actualisée et reconnue dans le domaine.</w:t>
      </w:r>
    </w:p>
    <w:p>
      <w:pPr>
        <w:ind w:left="426"/>
        <w:jc w:val="both"/>
        <w:rPr>
          <w:sz w:val="22"/>
        </w:rPr>
      </w:pPr>
    </w:p>
    <w:p>
      <w:pPr>
        <w:rPr>
          <w:sz w:val="22"/>
        </w:rPr>
      </w:pPr>
    </w:p>
    <w:p>
      <w:pPr>
        <w:rPr>
          <w:sz w:val="22"/>
        </w:rPr>
      </w:pPr>
    </w:p>
    <w:p>
      <w:pPr>
        <w:ind w:left="426" w:hanging="426"/>
        <w:rPr>
          <w:b/>
          <w:sz w:val="22"/>
        </w:rPr>
      </w:pPr>
      <w:r>
        <w:rPr>
          <w:b/>
          <w:sz w:val="22"/>
        </w:rPr>
        <w:t>6.</w:t>
      </w:r>
      <w:r>
        <w:rPr>
          <w:b/>
          <w:sz w:val="22"/>
        </w:rPr>
        <w:tab/>
        <w:t>CONSTITUTION DES GROUPES OU REGROUPEMENT</w:t>
      </w:r>
    </w:p>
    <w:p>
      <w:pPr>
        <w:rPr>
          <w:sz w:val="22"/>
        </w:rPr>
      </w:pPr>
    </w:p>
    <w:p>
      <w:pPr>
        <w:ind w:left="426"/>
        <w:jc w:val="both"/>
      </w:pPr>
      <w:r>
        <w:rPr>
          <w:sz w:val="22"/>
        </w:rPr>
        <w:t>Aucune recommandation particulière.</w:t>
      </w:r>
    </w:p>
    <w:p/>
    <w:p/>
    <w:p>
      <w:pPr>
        <w:numPr>
          <w:ilvl w:val="12"/>
          <w:numId w:val="0"/>
        </w:numPr>
        <w:rPr>
          <w:sz w:val="22"/>
        </w:rPr>
      </w:pPr>
    </w:p>
    <w:p>
      <w:pPr>
        <w:numPr>
          <w:ilvl w:val="12"/>
          <w:numId w:val="0"/>
        </w:numPr>
        <w:tabs>
          <w:tab w:val="left" w:pos="360"/>
        </w:tabs>
        <w:rPr>
          <w:b/>
          <w:sz w:val="22"/>
        </w:rPr>
      </w:pPr>
      <w:r>
        <w:rPr>
          <w:b/>
          <w:sz w:val="22"/>
        </w:rPr>
        <w:t>7.</w:t>
      </w:r>
      <w:r>
        <w:rPr>
          <w:b/>
          <w:sz w:val="22"/>
        </w:rPr>
        <w:tab/>
        <w:t>HORAIRE MINIMUM DE L’UNITE D’ENSEIGNEMENT</w:t>
      </w:r>
    </w:p>
    <w:p>
      <w:pPr>
        <w:numPr>
          <w:ilvl w:val="12"/>
          <w:numId w:val="0"/>
        </w:numPr>
        <w:tabs>
          <w:tab w:val="left" w:pos="360"/>
        </w:tabs>
        <w:rPr>
          <w:b/>
          <w:sz w:val="22"/>
        </w:rPr>
      </w:pPr>
    </w:p>
    <w:p>
      <w:pPr>
        <w:numPr>
          <w:ilvl w:val="12"/>
          <w:numId w:val="0"/>
        </w:numPr>
        <w:ind w:left="708" w:hanging="708"/>
        <w:rPr>
          <w:sz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253"/>
        <w:gridCol w:w="1701"/>
        <w:gridCol w:w="1701"/>
        <w:gridCol w:w="1701"/>
      </w:tblGrid>
      <w:tr>
        <w:tc>
          <w:tcPr>
            <w:tcW w:w="4253" w:type="dxa"/>
            <w:tcBorders>
              <w:top w:val="single" w:sz="12" w:space="0" w:color="auto"/>
              <w:left w:val="single" w:sz="12" w:space="0" w:color="auto"/>
              <w:bottom w:val="single" w:sz="12" w:space="0" w:color="auto"/>
            </w:tcBorders>
          </w:tcPr>
          <w:p>
            <w:pPr>
              <w:numPr>
                <w:ilvl w:val="12"/>
                <w:numId w:val="0"/>
              </w:numPr>
              <w:tabs>
                <w:tab w:val="left" w:pos="426"/>
                <w:tab w:val="left" w:pos="709"/>
              </w:tabs>
              <w:ind w:left="426"/>
              <w:jc w:val="center"/>
              <w:rPr>
                <w:b/>
                <w:sz w:val="22"/>
                <w:szCs w:val="22"/>
              </w:rPr>
            </w:pPr>
            <w:r>
              <w:rPr>
                <w:b/>
                <w:sz w:val="22"/>
                <w:szCs w:val="22"/>
              </w:rPr>
              <w:t>7.1. Dénomination du cours</w:t>
            </w:r>
          </w:p>
        </w:tc>
        <w:tc>
          <w:tcPr>
            <w:tcW w:w="1701" w:type="dxa"/>
            <w:tcBorders>
              <w:top w:val="single" w:sz="12" w:space="0" w:color="auto"/>
              <w:bottom w:val="single" w:sz="12" w:space="0" w:color="auto"/>
            </w:tcBorders>
          </w:tcPr>
          <w:p>
            <w:pPr>
              <w:numPr>
                <w:ilvl w:val="12"/>
                <w:numId w:val="0"/>
              </w:numPr>
              <w:jc w:val="center"/>
              <w:rPr>
                <w:sz w:val="22"/>
                <w:szCs w:val="22"/>
              </w:rPr>
            </w:pPr>
            <w:r>
              <w:rPr>
                <w:sz w:val="22"/>
                <w:szCs w:val="22"/>
              </w:rPr>
              <w:t>Classement</w:t>
            </w:r>
          </w:p>
        </w:tc>
        <w:tc>
          <w:tcPr>
            <w:tcW w:w="1701" w:type="dxa"/>
            <w:tcBorders>
              <w:top w:val="single" w:sz="12" w:space="0" w:color="auto"/>
              <w:bottom w:val="single" w:sz="12" w:space="0" w:color="auto"/>
            </w:tcBorders>
          </w:tcPr>
          <w:p>
            <w:pPr>
              <w:numPr>
                <w:ilvl w:val="12"/>
                <w:numId w:val="0"/>
              </w:numPr>
              <w:jc w:val="center"/>
              <w:rPr>
                <w:sz w:val="22"/>
                <w:szCs w:val="22"/>
              </w:rPr>
            </w:pPr>
            <w:r>
              <w:rPr>
                <w:sz w:val="22"/>
                <w:szCs w:val="22"/>
              </w:rPr>
              <w:t>Code U</w:t>
            </w:r>
          </w:p>
        </w:tc>
        <w:tc>
          <w:tcPr>
            <w:tcW w:w="1701" w:type="dxa"/>
            <w:tcBorders>
              <w:top w:val="single" w:sz="12" w:space="0" w:color="auto"/>
              <w:bottom w:val="single" w:sz="12" w:space="0" w:color="auto"/>
              <w:right w:val="single" w:sz="12" w:space="0" w:color="auto"/>
            </w:tcBorders>
          </w:tcPr>
          <w:p>
            <w:pPr>
              <w:numPr>
                <w:ilvl w:val="12"/>
                <w:numId w:val="0"/>
              </w:numPr>
              <w:jc w:val="center"/>
              <w:rPr>
                <w:sz w:val="22"/>
                <w:szCs w:val="22"/>
              </w:rPr>
            </w:pPr>
            <w:r>
              <w:rPr>
                <w:sz w:val="22"/>
                <w:szCs w:val="22"/>
              </w:rPr>
              <w:t>Nombre de périodes</w:t>
            </w:r>
          </w:p>
        </w:tc>
      </w:tr>
      <w:tr>
        <w:tc>
          <w:tcPr>
            <w:tcW w:w="4253" w:type="dxa"/>
            <w:tcBorders>
              <w:top w:val="nil"/>
              <w:left w:val="single" w:sz="12" w:space="0" w:color="auto"/>
            </w:tcBorders>
          </w:tcPr>
          <w:p>
            <w:pPr>
              <w:numPr>
                <w:ilvl w:val="12"/>
                <w:numId w:val="0"/>
              </w:numPr>
              <w:rPr>
                <w:sz w:val="22"/>
                <w:szCs w:val="22"/>
                <w:lang w:val="en-GB"/>
              </w:rPr>
            </w:pPr>
            <w:r>
              <w:rPr>
                <w:sz w:val="22"/>
                <w:szCs w:val="22"/>
                <w:lang w:val="en-GB"/>
              </w:rPr>
              <w:t>Enregistrement et successions</w:t>
            </w:r>
          </w:p>
        </w:tc>
        <w:tc>
          <w:tcPr>
            <w:tcW w:w="1701" w:type="dxa"/>
            <w:tcBorders>
              <w:top w:val="nil"/>
            </w:tcBorders>
          </w:tcPr>
          <w:p>
            <w:pPr>
              <w:numPr>
                <w:ilvl w:val="12"/>
                <w:numId w:val="0"/>
              </w:numPr>
              <w:jc w:val="center"/>
              <w:rPr>
                <w:sz w:val="22"/>
                <w:szCs w:val="22"/>
              </w:rPr>
            </w:pPr>
            <w:r>
              <w:rPr>
                <w:sz w:val="22"/>
                <w:szCs w:val="22"/>
              </w:rPr>
              <w:t>CT</w:t>
            </w:r>
          </w:p>
        </w:tc>
        <w:tc>
          <w:tcPr>
            <w:tcW w:w="1701" w:type="dxa"/>
            <w:tcBorders>
              <w:top w:val="nil"/>
            </w:tcBorders>
          </w:tcPr>
          <w:p>
            <w:pPr>
              <w:numPr>
                <w:ilvl w:val="12"/>
                <w:numId w:val="0"/>
              </w:numPr>
              <w:ind w:right="567"/>
              <w:jc w:val="right"/>
              <w:rPr>
                <w:sz w:val="22"/>
                <w:szCs w:val="22"/>
              </w:rPr>
            </w:pPr>
            <w:r>
              <w:rPr>
                <w:sz w:val="22"/>
                <w:szCs w:val="22"/>
              </w:rPr>
              <w:t>B</w:t>
            </w:r>
          </w:p>
        </w:tc>
        <w:tc>
          <w:tcPr>
            <w:tcW w:w="1701" w:type="dxa"/>
            <w:tcBorders>
              <w:top w:val="nil"/>
              <w:right w:val="single" w:sz="12" w:space="0" w:color="auto"/>
            </w:tcBorders>
          </w:tcPr>
          <w:p>
            <w:pPr>
              <w:numPr>
                <w:ilvl w:val="12"/>
                <w:numId w:val="0"/>
              </w:numPr>
              <w:ind w:right="567"/>
              <w:jc w:val="center"/>
              <w:rPr>
                <w:sz w:val="22"/>
                <w:szCs w:val="22"/>
              </w:rPr>
            </w:pPr>
            <w:r>
              <w:rPr>
                <w:sz w:val="22"/>
                <w:szCs w:val="22"/>
              </w:rPr>
              <w:t>32</w:t>
            </w:r>
          </w:p>
        </w:tc>
      </w:tr>
      <w:tr>
        <w:tc>
          <w:tcPr>
            <w:tcW w:w="5954" w:type="dxa"/>
            <w:gridSpan w:val="2"/>
            <w:tcBorders>
              <w:left w:val="single" w:sz="12" w:space="0" w:color="auto"/>
              <w:bottom w:val="nil"/>
            </w:tcBorders>
          </w:tcPr>
          <w:p>
            <w:pPr>
              <w:numPr>
                <w:ilvl w:val="12"/>
                <w:numId w:val="0"/>
              </w:numPr>
              <w:ind w:left="426"/>
              <w:rPr>
                <w:b/>
                <w:sz w:val="22"/>
                <w:szCs w:val="22"/>
              </w:rPr>
            </w:pPr>
            <w:r>
              <w:rPr>
                <w:b/>
                <w:sz w:val="22"/>
                <w:szCs w:val="22"/>
              </w:rPr>
              <w:t xml:space="preserve">         7.2. Part d’autonomie</w:t>
            </w:r>
          </w:p>
        </w:tc>
        <w:tc>
          <w:tcPr>
            <w:tcW w:w="1701" w:type="dxa"/>
            <w:tcBorders>
              <w:bottom w:val="nil"/>
            </w:tcBorders>
          </w:tcPr>
          <w:p>
            <w:pPr>
              <w:numPr>
                <w:ilvl w:val="12"/>
                <w:numId w:val="0"/>
              </w:numPr>
              <w:ind w:right="567"/>
              <w:jc w:val="right"/>
              <w:rPr>
                <w:sz w:val="22"/>
                <w:szCs w:val="22"/>
              </w:rPr>
            </w:pPr>
            <w:r>
              <w:rPr>
                <w:sz w:val="22"/>
                <w:szCs w:val="22"/>
              </w:rPr>
              <w:t>P</w:t>
            </w:r>
          </w:p>
        </w:tc>
        <w:tc>
          <w:tcPr>
            <w:tcW w:w="1701" w:type="dxa"/>
            <w:tcBorders>
              <w:bottom w:val="nil"/>
              <w:right w:val="single" w:sz="12" w:space="0" w:color="auto"/>
            </w:tcBorders>
          </w:tcPr>
          <w:p>
            <w:pPr>
              <w:numPr>
                <w:ilvl w:val="12"/>
                <w:numId w:val="0"/>
              </w:numPr>
              <w:ind w:right="567"/>
              <w:jc w:val="center"/>
              <w:rPr>
                <w:sz w:val="22"/>
                <w:szCs w:val="22"/>
              </w:rPr>
            </w:pPr>
            <w:r>
              <w:rPr>
                <w:sz w:val="22"/>
                <w:szCs w:val="22"/>
              </w:rPr>
              <w:t>8</w:t>
            </w:r>
          </w:p>
        </w:tc>
      </w:tr>
      <w:tr>
        <w:tc>
          <w:tcPr>
            <w:tcW w:w="5954" w:type="dxa"/>
            <w:gridSpan w:val="2"/>
            <w:tcBorders>
              <w:top w:val="single" w:sz="12" w:space="0" w:color="auto"/>
              <w:left w:val="single" w:sz="12" w:space="0" w:color="auto"/>
              <w:bottom w:val="single" w:sz="12" w:space="0" w:color="auto"/>
              <w:right w:val="nil"/>
            </w:tcBorders>
          </w:tcPr>
          <w:p>
            <w:pPr>
              <w:numPr>
                <w:ilvl w:val="12"/>
                <w:numId w:val="0"/>
              </w:numPr>
              <w:rPr>
                <w:sz w:val="22"/>
                <w:szCs w:val="22"/>
              </w:rPr>
            </w:pPr>
            <w:r>
              <w:rPr>
                <w:sz w:val="22"/>
                <w:szCs w:val="22"/>
              </w:rPr>
              <w:t>Total des périodes</w:t>
            </w:r>
          </w:p>
        </w:tc>
        <w:tc>
          <w:tcPr>
            <w:tcW w:w="1701" w:type="dxa"/>
            <w:tcBorders>
              <w:top w:val="single" w:sz="12" w:space="0" w:color="auto"/>
              <w:left w:val="nil"/>
              <w:bottom w:val="single" w:sz="12" w:space="0" w:color="auto"/>
              <w:right w:val="nil"/>
            </w:tcBorders>
          </w:tcPr>
          <w:p>
            <w:pPr>
              <w:numPr>
                <w:ilvl w:val="12"/>
                <w:numId w:val="0"/>
              </w:numPr>
              <w:ind w:right="709"/>
              <w:jc w:val="right"/>
              <w:rPr>
                <w:sz w:val="22"/>
                <w:szCs w:val="22"/>
              </w:rPr>
            </w:pPr>
          </w:p>
        </w:tc>
        <w:tc>
          <w:tcPr>
            <w:tcW w:w="1701" w:type="dxa"/>
            <w:tcBorders>
              <w:top w:val="single" w:sz="12" w:space="0" w:color="auto"/>
              <w:bottom w:val="single" w:sz="12" w:space="0" w:color="auto"/>
              <w:right w:val="single" w:sz="12" w:space="0" w:color="auto"/>
            </w:tcBorders>
          </w:tcPr>
          <w:p>
            <w:pPr>
              <w:numPr>
                <w:ilvl w:val="12"/>
                <w:numId w:val="0"/>
              </w:numPr>
              <w:ind w:right="567"/>
              <w:jc w:val="center"/>
              <w:rPr>
                <w:sz w:val="22"/>
                <w:szCs w:val="22"/>
              </w:rPr>
            </w:pPr>
            <w:r>
              <w:rPr>
                <w:sz w:val="22"/>
                <w:szCs w:val="22"/>
              </w:rPr>
              <w:t>40</w:t>
            </w:r>
          </w:p>
        </w:tc>
      </w:tr>
    </w:tbl>
    <w:p>
      <w:pPr>
        <w:numPr>
          <w:ilvl w:val="12"/>
          <w:numId w:val="0"/>
        </w:numPr>
        <w:ind w:firstLine="1"/>
        <w:rPr>
          <w:sz w:val="22"/>
        </w:rPr>
      </w:pPr>
    </w:p>
    <w:p>
      <w:pPr>
        <w:numPr>
          <w:ilvl w:val="12"/>
          <w:numId w:val="0"/>
        </w:numPr>
        <w:ind w:firstLine="1"/>
        <w:rPr>
          <w:sz w:val="22"/>
        </w:rPr>
      </w:pPr>
    </w:p>
    <w:p/>
    <w:p/>
    <w:sectPr>
      <w:footerReference w:type="default" r:id="rId7"/>
      <w:pgSz w:w="11907" w:h="16840"/>
      <w:pgMar w:top="1418" w:right="1418"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erif">
    <w:altName w:val="Harrington"/>
    <w:panose1 w:val="040005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rFonts w:ascii="Arial" w:hAnsi="Arial" w:cs="Arial"/>
      </w:rPr>
    </w:pPr>
    <w:r>
      <w:rPr>
        <w:rFonts w:ascii="Arial" w:hAnsi="Arial" w:cs="Arial"/>
        <w:sz w:val="16"/>
      </w:rPr>
      <w:t>Bac Compta UE Enregistrement et successions</w:t>
    </w:r>
    <w:r>
      <w:rPr>
        <w:rFonts w:ascii="Arial" w:hAnsi="Arial" w:cs="Arial"/>
        <w:sz w:val="16"/>
      </w:rPr>
      <w:tab/>
    </w:r>
    <w:r>
      <w:rPr>
        <w:rFonts w:ascii="Arial" w:hAnsi="Arial" w:cs="Arial"/>
        <w:sz w:val="16"/>
      </w:rPr>
      <w:tab/>
      <w:t xml:space="preserve">Page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sur </w:t>
    </w:r>
    <w:r>
      <w:rPr>
        <w:rFonts w:ascii="Arial" w:hAnsi="Arial" w:cs="Arial"/>
        <w:sz w:val="16"/>
      </w:rPr>
      <w:fldChar w:fldCharType="begin"/>
    </w:r>
    <w:r>
      <w:rPr>
        <w:rFonts w:ascii="Arial" w:hAnsi="Arial" w:cs="Arial"/>
        <w:sz w:val="16"/>
      </w:rPr>
      <w:instrText xml:space="preserve"> NUMPAGES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344239"/>
    <w:multiLevelType w:val="hybridMultilevel"/>
    <w:tmpl w:val="F3F23CB6"/>
    <w:lvl w:ilvl="0" w:tplc="05805330">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450DB2"/>
    <w:multiLevelType w:val="hybridMultilevel"/>
    <w:tmpl w:val="7FC07CCA"/>
    <w:lvl w:ilvl="0" w:tplc="672C82D0">
      <w:start w:val="1"/>
      <w:numFmt w:val="bullet"/>
      <w:lvlText w:val=""/>
      <w:lvlJc w:val="left"/>
      <w:pPr>
        <w:tabs>
          <w:tab w:val="num" w:pos="720"/>
        </w:tabs>
        <w:ind w:left="870" w:hanging="510"/>
      </w:pPr>
      <w:rPr>
        <w:rFonts w:ascii="Symbol" w:hAnsi="Symbol" w:hint="default"/>
        <w:sz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B36D2"/>
    <w:multiLevelType w:val="hybridMultilevel"/>
    <w:tmpl w:val="94CE4092"/>
    <w:lvl w:ilvl="0" w:tplc="92B6DFB4">
      <w:start w:val="3"/>
      <w:numFmt w:val="bullet"/>
      <w:lvlText w:val="-"/>
      <w:lvlJc w:val="left"/>
      <w:pPr>
        <w:tabs>
          <w:tab w:val="num" w:pos="1776"/>
        </w:tabs>
        <w:ind w:left="1776" w:hanging="360"/>
      </w:pPr>
      <w:rPr>
        <w:rFonts w:ascii="Times New Roman" w:eastAsia="Times New Roman" w:hAnsi="Times New Roman" w:cs="Times New Roman"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4" w15:restartNumberingAfterBreak="0">
    <w:nsid w:val="11214CEA"/>
    <w:multiLevelType w:val="hybridMultilevel"/>
    <w:tmpl w:val="EE888898"/>
    <w:lvl w:ilvl="0" w:tplc="672C82D0">
      <w:start w:val="1"/>
      <w:numFmt w:val="bullet"/>
      <w:lvlText w:val=""/>
      <w:lvlJc w:val="left"/>
      <w:pPr>
        <w:tabs>
          <w:tab w:val="num" w:pos="1776"/>
        </w:tabs>
        <w:ind w:left="1926" w:hanging="510"/>
      </w:pPr>
      <w:rPr>
        <w:rFonts w:ascii="Symbol" w:hAnsi="Symbol" w:hint="default"/>
        <w:sz w:val="22"/>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5" w15:restartNumberingAfterBreak="0">
    <w:nsid w:val="1DF032AE"/>
    <w:multiLevelType w:val="multilevel"/>
    <w:tmpl w:val="F3F23CB6"/>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7A1D72"/>
    <w:multiLevelType w:val="multilevel"/>
    <w:tmpl w:val="7BC23084"/>
    <w:lvl w:ilvl="0">
      <w:start w:val="1"/>
      <w:numFmt w:val="bullet"/>
      <w:lvlText w:val=""/>
      <w:lvlJc w:val="left"/>
      <w:pPr>
        <w:tabs>
          <w:tab w:val="num" w:pos="360"/>
        </w:tabs>
        <w:ind w:left="360" w:hanging="360"/>
      </w:pPr>
      <w:rPr>
        <w:rFonts w:ascii="Symbol" w:hAnsi="Symbol"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A551BB"/>
    <w:multiLevelType w:val="hybridMultilevel"/>
    <w:tmpl w:val="7BC23084"/>
    <w:lvl w:ilvl="0" w:tplc="379EFE6E">
      <w:start w:val="1"/>
      <w:numFmt w:val="bullet"/>
      <w:lvlText w:val=""/>
      <w:lvlJc w:val="left"/>
      <w:pPr>
        <w:tabs>
          <w:tab w:val="num" w:pos="360"/>
        </w:tabs>
        <w:ind w:left="360" w:hanging="360"/>
      </w:pPr>
      <w:rPr>
        <w:rFonts w:ascii="Symbol" w:hAnsi="Symbol" w:hint="default"/>
        <w:sz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A63029"/>
    <w:multiLevelType w:val="hybridMultilevel"/>
    <w:tmpl w:val="D106668E"/>
    <w:lvl w:ilvl="0" w:tplc="79AE66CE">
      <w:start w:val="1"/>
      <w:numFmt w:val="bullet"/>
      <w:lvlText w:val=""/>
      <w:lvlJc w:val="left"/>
      <w:pPr>
        <w:tabs>
          <w:tab w:val="num" w:pos="2080"/>
        </w:tabs>
        <w:ind w:left="2080" w:hanging="664"/>
      </w:pPr>
      <w:rPr>
        <w:rFonts w:ascii="Symbol" w:hAnsi="Symbol" w:hint="default"/>
        <w:color w:val="auto"/>
        <w:sz w:val="18"/>
      </w:rPr>
    </w:lvl>
    <w:lvl w:ilvl="1" w:tplc="672C82D0">
      <w:start w:val="1"/>
      <w:numFmt w:val="bullet"/>
      <w:lvlText w:val=""/>
      <w:lvlJc w:val="left"/>
      <w:pPr>
        <w:tabs>
          <w:tab w:val="num" w:pos="1949"/>
        </w:tabs>
        <w:ind w:left="2099" w:hanging="510"/>
      </w:pPr>
      <w:rPr>
        <w:rFonts w:ascii="Symbol" w:hAnsi="Symbol" w:hint="default"/>
        <w:color w:val="auto"/>
        <w:sz w:val="22"/>
      </w:rPr>
    </w:lvl>
    <w:lvl w:ilvl="2" w:tplc="AFCA82E8">
      <w:numFmt w:val="bullet"/>
      <w:lvlText w:val="-"/>
      <w:lvlJc w:val="left"/>
      <w:pPr>
        <w:tabs>
          <w:tab w:val="num" w:pos="2669"/>
        </w:tabs>
        <w:ind w:left="2669" w:hanging="360"/>
      </w:pPr>
      <w:rPr>
        <w:rFonts w:ascii="Times New Roman" w:eastAsia="Times New Roman" w:hAnsi="Times New Roman" w:cs="Times New Roman" w:hint="default"/>
      </w:rPr>
    </w:lvl>
    <w:lvl w:ilvl="3" w:tplc="040C0001" w:tentative="1">
      <w:start w:val="1"/>
      <w:numFmt w:val="bullet"/>
      <w:lvlText w:val=""/>
      <w:lvlJc w:val="left"/>
      <w:pPr>
        <w:tabs>
          <w:tab w:val="num" w:pos="3389"/>
        </w:tabs>
        <w:ind w:left="3389" w:hanging="360"/>
      </w:pPr>
      <w:rPr>
        <w:rFonts w:ascii="Symbol" w:hAnsi="Symbol" w:hint="default"/>
      </w:rPr>
    </w:lvl>
    <w:lvl w:ilvl="4" w:tplc="040C0003" w:tentative="1">
      <w:start w:val="1"/>
      <w:numFmt w:val="bullet"/>
      <w:lvlText w:val="o"/>
      <w:lvlJc w:val="left"/>
      <w:pPr>
        <w:tabs>
          <w:tab w:val="num" w:pos="4109"/>
        </w:tabs>
        <w:ind w:left="4109" w:hanging="360"/>
      </w:pPr>
      <w:rPr>
        <w:rFonts w:ascii="Courier New" w:hAnsi="Courier New" w:cs="Courier New" w:hint="default"/>
      </w:rPr>
    </w:lvl>
    <w:lvl w:ilvl="5" w:tplc="040C0005" w:tentative="1">
      <w:start w:val="1"/>
      <w:numFmt w:val="bullet"/>
      <w:lvlText w:val=""/>
      <w:lvlJc w:val="left"/>
      <w:pPr>
        <w:tabs>
          <w:tab w:val="num" w:pos="4829"/>
        </w:tabs>
        <w:ind w:left="4829" w:hanging="360"/>
      </w:pPr>
      <w:rPr>
        <w:rFonts w:ascii="Wingdings" w:hAnsi="Wingdings" w:hint="default"/>
      </w:rPr>
    </w:lvl>
    <w:lvl w:ilvl="6" w:tplc="040C0001" w:tentative="1">
      <w:start w:val="1"/>
      <w:numFmt w:val="bullet"/>
      <w:lvlText w:val=""/>
      <w:lvlJc w:val="left"/>
      <w:pPr>
        <w:tabs>
          <w:tab w:val="num" w:pos="5549"/>
        </w:tabs>
        <w:ind w:left="5549" w:hanging="360"/>
      </w:pPr>
      <w:rPr>
        <w:rFonts w:ascii="Symbol" w:hAnsi="Symbol" w:hint="default"/>
      </w:rPr>
    </w:lvl>
    <w:lvl w:ilvl="7" w:tplc="040C0003" w:tentative="1">
      <w:start w:val="1"/>
      <w:numFmt w:val="bullet"/>
      <w:lvlText w:val="o"/>
      <w:lvlJc w:val="left"/>
      <w:pPr>
        <w:tabs>
          <w:tab w:val="num" w:pos="6269"/>
        </w:tabs>
        <w:ind w:left="6269" w:hanging="360"/>
      </w:pPr>
      <w:rPr>
        <w:rFonts w:ascii="Courier New" w:hAnsi="Courier New" w:cs="Courier New" w:hint="default"/>
      </w:rPr>
    </w:lvl>
    <w:lvl w:ilvl="8" w:tplc="040C0005" w:tentative="1">
      <w:start w:val="1"/>
      <w:numFmt w:val="bullet"/>
      <w:lvlText w:val=""/>
      <w:lvlJc w:val="left"/>
      <w:pPr>
        <w:tabs>
          <w:tab w:val="num" w:pos="6989"/>
        </w:tabs>
        <w:ind w:left="6989" w:hanging="360"/>
      </w:pPr>
      <w:rPr>
        <w:rFonts w:ascii="Wingdings" w:hAnsi="Wingdings" w:hint="default"/>
      </w:rPr>
    </w:lvl>
  </w:abstractNum>
  <w:abstractNum w:abstractNumId="9" w15:restartNumberingAfterBreak="0">
    <w:nsid w:val="5C2538BD"/>
    <w:multiLevelType w:val="multilevel"/>
    <w:tmpl w:val="B95469F2"/>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860"/>
        </w:tabs>
        <w:ind w:left="860" w:hanging="435"/>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10" w15:restartNumberingAfterBreak="0">
    <w:nsid w:val="5CBE260C"/>
    <w:multiLevelType w:val="hybridMultilevel"/>
    <w:tmpl w:val="9CA87F9C"/>
    <w:lvl w:ilvl="0" w:tplc="79AE66CE">
      <w:start w:val="1"/>
      <w:numFmt w:val="bullet"/>
      <w:lvlText w:val=""/>
      <w:lvlJc w:val="left"/>
      <w:pPr>
        <w:tabs>
          <w:tab w:val="num" w:pos="2080"/>
        </w:tabs>
        <w:ind w:left="2080" w:hanging="664"/>
      </w:pPr>
      <w:rPr>
        <w:rFonts w:ascii="Symbol" w:hAnsi="Symbol" w:hint="default"/>
        <w:color w:val="auto"/>
        <w:sz w:val="18"/>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74222001"/>
    <w:multiLevelType w:val="multilevel"/>
    <w:tmpl w:val="94CE4092"/>
    <w:lvl w:ilvl="0">
      <w:start w:val="3"/>
      <w:numFmt w:val="bullet"/>
      <w:lvlText w:val="-"/>
      <w:lvlJc w:val="left"/>
      <w:pPr>
        <w:tabs>
          <w:tab w:val="num" w:pos="1776"/>
        </w:tabs>
        <w:ind w:left="1776" w:hanging="360"/>
      </w:pPr>
      <w:rPr>
        <w:rFonts w:ascii="Times New Roman" w:eastAsia="Times New Roman" w:hAnsi="Times New Roman" w:cs="Times New Roman"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2" w15:restartNumberingAfterBreak="0">
    <w:nsid w:val="76BC5761"/>
    <w:multiLevelType w:val="multilevel"/>
    <w:tmpl w:val="EE888898"/>
    <w:lvl w:ilvl="0">
      <w:start w:val="1"/>
      <w:numFmt w:val="bullet"/>
      <w:lvlText w:val=""/>
      <w:lvlJc w:val="left"/>
      <w:pPr>
        <w:tabs>
          <w:tab w:val="num" w:pos="1776"/>
        </w:tabs>
        <w:ind w:left="1926" w:hanging="510"/>
      </w:pPr>
      <w:rPr>
        <w:rFonts w:ascii="Symbol" w:hAnsi="Symbol" w:hint="default"/>
        <w:sz w:val="22"/>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993" w:hanging="283"/>
        </w:pPr>
        <w:rPr>
          <w:rFonts w:ascii="Symbol" w:hAnsi="Symbol" w:hint="default"/>
          <w:sz w:val="18"/>
        </w:rPr>
      </w:lvl>
    </w:lvlOverride>
  </w:num>
  <w:num w:numId="3">
    <w:abstractNumId w:val="9"/>
  </w:num>
  <w:num w:numId="4">
    <w:abstractNumId w:val="7"/>
  </w:num>
  <w:num w:numId="5">
    <w:abstractNumId w:val="6"/>
  </w:num>
  <w:num w:numId="6">
    <w:abstractNumId w:val="8"/>
  </w:num>
  <w:num w:numId="7">
    <w:abstractNumId w:val="3"/>
  </w:num>
  <w:num w:numId="8">
    <w:abstractNumId w:val="11"/>
  </w:num>
  <w:num w:numId="9">
    <w:abstractNumId w:val="4"/>
  </w:num>
  <w:num w:numId="10">
    <w:abstractNumId w:val="12"/>
  </w:num>
  <w:num w:numId="11">
    <w:abstractNumId w:val="10"/>
  </w:num>
  <w:num w:numId="12">
    <w:abstractNumId w:val="1"/>
  </w:num>
  <w:num w:numId="13">
    <w:abstractNumId w:val="5"/>
  </w:num>
  <w:num w:numId="14">
    <w:abstractNumId w:val="2"/>
  </w:num>
  <w:num w:numId="15">
    <w:abstractNumId w:val="0"/>
    <w:lvlOverride w:ilvl="0">
      <w:lvl w:ilvl="0">
        <w:start w:val="1"/>
        <w:numFmt w:val="bullet"/>
        <w:lvlText w:val=""/>
        <w:legacy w:legacy="1" w:legacySpace="0" w:legacyIndent="284"/>
        <w:lvlJc w:val="left"/>
        <w:pPr>
          <w:ind w:left="710" w:hanging="284"/>
        </w:pPr>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B6862BF7-10A1-4E34-B903-85BAA9BFA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rPr>
      <w:rFonts w:ascii="MS Serif" w:hAnsi="MS Serif"/>
      <w:noProof/>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Retraitcorpsdetexte2">
    <w:name w:val="Body Text Indent 2"/>
    <w:basedOn w:val="Normal"/>
    <w:pPr>
      <w:widowControl/>
      <w:numPr>
        <w:ilvl w:val="12"/>
      </w:numPr>
      <w:ind w:left="426"/>
    </w:pPr>
    <w:rPr>
      <w:i/>
      <w:sz w:val="22"/>
    </w:rPr>
  </w:style>
  <w:style w:type="paragraph" w:styleId="En-tte">
    <w:name w:val="header"/>
    <w:basedOn w:val="Normal"/>
    <w:pPr>
      <w:tabs>
        <w:tab w:val="center" w:pos="4536"/>
        <w:tab w:val="right" w:pos="9072"/>
      </w:tabs>
    </w:pPr>
  </w:style>
  <w:style w:type="paragraph" w:styleId="Textedebulles">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98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05969550-7A4B-4654-A4DA-4D7838C78838}"/>
</file>

<file path=customXml/itemProps2.xml><?xml version="1.0" encoding="utf-8"?>
<ds:datastoreItem xmlns:ds="http://schemas.openxmlformats.org/officeDocument/2006/customXml" ds:itemID="{83F2CE3F-7662-47C2-9AA6-D941F96C0C0C}"/>
</file>

<file path=customXml/itemProps3.xml><?xml version="1.0" encoding="utf-8"?>
<ds:datastoreItem xmlns:ds="http://schemas.openxmlformats.org/officeDocument/2006/customXml" ds:itemID="{87A196B7-3447-461D-BF6E-0FC492EE4BE6}"/>
</file>

<file path=docProps/app.xml><?xml version="1.0" encoding="utf-8"?>
<Properties xmlns="http://schemas.openxmlformats.org/officeDocument/2006/extended-properties" xmlns:vt="http://schemas.openxmlformats.org/officeDocument/2006/docPropsVTypes">
  <Template>Normal.dotm</Template>
  <TotalTime>1</TotalTime>
  <Pages>4</Pages>
  <Words>715</Words>
  <Characters>3934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Enregistrement et successions</vt:lpstr>
    </vt:vector>
  </TitlesOfParts>
  <Company/>
  <LinksUpToDate>false</LinksUpToDate>
  <CharactersWithSpaces>4640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Enregistrement et successions</dc:title>
  <dc:creator>Martine GILLON</dc:creator>
  <cp:lastModifiedBy>goulet02</cp:lastModifiedBy>
  <cp:revision>5</cp:revision>
  <cp:lastPrinted>2006-09-29T09:32:00Z</cp:lastPrinted>
  <dcterms:created xsi:type="dcterms:W3CDTF">2017-06-09T14:34:00Z</dcterms:created>
  <dcterms:modified xsi:type="dcterms:W3CDTF">2019-09-09T09:23:00Z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enregistrement">
    <vt:lpwstr>05/07/06</vt:lpwstr>
  </property>
  <property fmtid="{D5CDD505-2E9C-101B-9397-08002B2CF9AE}" pid="3" name="Destination">
    <vt:lpwstr>CC</vt:lpwstr>
  </property>
  <property fmtid="{D5CDD505-2E9C-101B-9397-08002B2CF9AE}" pid="4" name="De la part de">
    <vt:lpwstr>Martine GILLON</vt:lpwstr>
  </property>
  <property fmtid="{D5CDD505-2E9C-101B-9397-08002B2CF9AE}" pid="5" name="ContentTypeId">
    <vt:lpwstr>0x01010047930F97F8CE1A4FB0084D5D0C97CCF7</vt:lpwstr>
  </property>
</Properties>
</file>