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itre"/>
        <w:jc w:val="right"/>
        <w:rPr>
          <w:rFonts w:ascii="Times New Roman" w:hAnsi="Times New Roman"/>
          <w:sz w:val="16"/>
        </w:rPr>
      </w:pPr>
    </w:p>
    <w:p>
      <w:pPr>
        <w:spacing w:line="480" w:lineRule="auto"/>
        <w:jc w:val="center"/>
        <w:rPr>
          <w:rFonts w:ascii="Times New Roman" w:hAnsi="Times New Roman"/>
          <w:b/>
          <w:noProof/>
          <w:sz w:val="22"/>
          <w:szCs w:val="22"/>
        </w:rPr>
      </w:pPr>
      <w:bookmarkStart w:id="0" w:name="_Hlk516241087"/>
      <w:bookmarkStart w:id="1" w:name="_Hlk516242471"/>
      <w:r>
        <w:rPr>
          <w:rFonts w:ascii="Times New Roman" w:hAnsi="Times New Roman"/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hAnsi="Times New Roman"/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rFonts w:ascii="Times New Roman" w:hAnsi="Times New Roman"/>
          <w:b/>
          <w:noProof/>
          <w:sz w:val="22"/>
          <w:szCs w:val="22"/>
        </w:rPr>
        <w:t>ENSEIGNEMENT DE PROMOTION SOCIALE</w:t>
      </w: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>
      <w:pPr>
        <w:jc w:val="center"/>
        <w:rPr>
          <w:rFonts w:ascii="Times New Roman" w:hAnsi="Times New Roman"/>
        </w:rPr>
      </w:pPr>
    </w:p>
    <w:p/>
    <w:p>
      <w:pPr>
        <w:spacing w:line="480" w:lineRule="auto"/>
        <w:jc w:val="center"/>
        <w:rPr>
          <w:rFonts w:ascii="Times New Roman" w:hAnsi="Times New Roman"/>
          <w:b/>
          <w:noProof/>
          <w:sz w:val="28"/>
          <w:szCs w:val="22"/>
        </w:rPr>
      </w:pPr>
      <w:r>
        <w:rPr>
          <w:rFonts w:ascii="Times New Roman" w:hAnsi="Times New Roman"/>
          <w:b/>
          <w:noProof/>
          <w:sz w:val="28"/>
          <w:szCs w:val="22"/>
        </w:rPr>
        <w:t xml:space="preserve"> DOSSIER PEDAGOGIQUE</w:t>
      </w:r>
    </w:p>
    <w:p/>
    <w:p/>
    <w:p>
      <w:pPr>
        <w:keepNext/>
        <w:jc w:val="center"/>
        <w:outlineLvl w:val="1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UNITE D’ENSEIGNEMENT</w:t>
      </w:r>
    </w:p>
    <w:p/>
    <w:p>
      <w:r>
        <w:t xml:space="preserve"> 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  <w:r>
        <w:rPr>
          <w:rFonts w:ascii="Times New Roman" w:hAnsi="Times New Roman"/>
          <w:b/>
          <w:caps/>
          <w:sz w:val="32"/>
          <w:szCs w:val="32"/>
        </w:rPr>
        <w:t>BUREAU D’ETUDES DU GENIE CIVIL</w:t>
      </w: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2"/>
        </w:rPr>
      </w:pP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  <w:r>
        <w:rPr>
          <w:rFonts w:ascii="Times New Roman" w:hAnsi="Times New Roman"/>
          <w:b/>
          <w:noProof/>
          <w:sz w:val="22"/>
        </w:rPr>
        <w:t xml:space="preserve">ENSEIGNEMENT </w:t>
      </w:r>
      <w:r>
        <w:rPr>
          <w:rFonts w:ascii="Times New Roman" w:hAnsi="Times New Roman"/>
          <w:b/>
          <w:caps/>
          <w:noProof/>
          <w:sz w:val="22"/>
        </w:rPr>
        <w:t>superieur de type court</w:t>
      </w:r>
    </w:p>
    <w:p>
      <w:pPr>
        <w:jc w:val="center"/>
        <w:rPr>
          <w:rFonts w:ascii="Times New Roman" w:hAnsi="Times New Roman"/>
          <w:b/>
          <w:caps/>
          <w:noProof/>
          <w:sz w:val="22"/>
        </w:rPr>
      </w:pPr>
    </w:p>
    <w:p>
      <w:pPr>
        <w:jc w:val="center"/>
        <w:rPr>
          <w:rFonts w:ascii="Times New Roman" w:hAnsi="Times New Roman"/>
          <w:b/>
          <w:noProof/>
          <w:sz w:val="20"/>
        </w:rPr>
      </w:pPr>
      <w:r>
        <w:rPr>
          <w:rFonts w:ascii="Times New Roman" w:hAnsi="Times New Roman"/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  <w:sz w:val="22"/>
          <w:szCs w:val="22"/>
        </w:rPr>
      </w:pPr>
    </w:p>
    <w:p>
      <w:pPr>
        <w:jc w:val="center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: 32 51 07 U31 D2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CODE DU DOMAINE DE FORMATION : 303</w:t>
            </w:r>
          </w:p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noProof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rFonts w:ascii="Times New Roman" w:hAnsi="Times New Roman"/>
          <w:b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ind w:left="708" w:firstLine="12"/>
        <w:rPr>
          <w:rFonts w:ascii="Times New Roman" w:hAnsi="Times New Roman"/>
        </w:rPr>
      </w:pPr>
    </w:p>
    <w:p>
      <w:pPr>
        <w:tabs>
          <w:tab w:val="left" w:pos="709"/>
        </w:tabs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Approbation du Gouvernement de la Communauté française du 01 juillet 2019, </w:t>
      </w:r>
    </w:p>
    <w:p>
      <w:pPr>
        <w:jc w:val="center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sur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avis conforme du Conseil général</w:t>
      </w:r>
    </w:p>
    <w:bookmarkEnd w:id="0"/>
    <w:p>
      <w:pPr>
        <w:pStyle w:val="Titre"/>
        <w:jc w:val="left"/>
        <w:rPr>
          <w:rFonts w:ascii="Times New Roman" w:hAnsi="Times New Roman"/>
          <w:b w:val="0"/>
          <w:sz w:val="22"/>
        </w:rPr>
      </w:pPr>
      <w:r>
        <w:rPr>
          <w:rFonts w:ascii="Times New Roman" w:hAnsi="Times New Roman"/>
          <w:b w:val="0"/>
          <w:sz w:val="32"/>
          <w:szCs w:val="32"/>
          <w:lang w:val="fr-FR"/>
        </w:rPr>
        <w:br w:type="page"/>
      </w:r>
      <w:bookmarkEnd w:id="1"/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c>
          <w:tcPr>
            <w:tcW w:w="9520" w:type="dxa"/>
          </w:tcPr>
          <w:p>
            <w:pPr>
              <w:jc w:val="center"/>
              <w:rPr>
                <w:rFonts w:ascii="Times New Roman" w:hAnsi="Times New Roman"/>
                <w:b/>
              </w:rPr>
            </w:pPr>
          </w:p>
          <w:p>
            <w:pPr>
              <w:pStyle w:val="Titre4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BUREAU D’ETUDES DU GENIE CIVIL</w:t>
            </w:r>
          </w:p>
          <w:p/>
          <w:p>
            <w:pPr>
              <w:pStyle w:val="Titre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ENSEIGNEMENT superieur technique de type court</w:t>
            </w:r>
          </w:p>
          <w:p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</w:tr>
    </w:tbl>
    <w:p>
      <w:pPr>
        <w:rPr>
          <w:rFonts w:ascii="Times New Roman" w:hAnsi="Times New Roman"/>
          <w:b/>
          <w:sz w:val="22"/>
        </w:rPr>
      </w:pPr>
    </w:p>
    <w:p>
      <w:pPr>
        <w:pStyle w:val="Titre2"/>
        <w:jc w:val="left"/>
      </w:pPr>
    </w:p>
    <w:p/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FINALITES DE L’UNITE D’ENSEIGNEMENT</w:t>
      </w:r>
    </w:p>
    <w:p>
      <w:pPr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1.1. Finalités générales</w:t>
      </w:r>
    </w:p>
    <w:p>
      <w:pPr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pStyle w:val="normal01"/>
        <w:widowControl/>
        <w:spacing w:line="240" w:lineRule="auto"/>
        <w:jc w:val="both"/>
        <w:rPr>
          <w:snapToGrid w:val="0"/>
        </w:rPr>
      </w:pPr>
    </w:p>
    <w:p>
      <w:pPr>
        <w:numPr>
          <w:ilvl w:val="0"/>
          <w:numId w:val="1"/>
        </w:numPr>
        <w:tabs>
          <w:tab w:val="left" w:pos="284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concourir à l’épanouissement individuel en promouvant une meilleure insertion professionnelle, sociale, scolaire et culturelle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rPr>
          <w:rFonts w:ascii="Times New Roman" w:hAnsi="Times New Roman"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1.2. Finalités particulières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pStyle w:val="Retraitcorpsdetexte2"/>
        <w:ind w:left="709"/>
        <w:jc w:val="both"/>
      </w:pPr>
      <w:r>
        <w:t>L’unité d’enseignement vise à permettre à l’étudiant :</w:t>
      </w:r>
    </w:p>
    <w:p>
      <w:pPr>
        <w:pStyle w:val="Retraitcorpsdetexte2"/>
        <w:ind w:left="709"/>
        <w:jc w:val="both"/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réaliser des plans, des coupes, des élévations et détails d’un ouvrage d’art, notamment au moyen de logiciels appropriés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de choisir et de justifier  les matériaux et techniques constructives d’un projet d’ouvrage d’art ; 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de stabilité au dimensionnement des ouvrages d'art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 chantier du génie civil sur les plans administratif, technique et législatif.</w:t>
      </w:r>
    </w:p>
    <w:p>
      <w:pPr>
        <w:numPr>
          <w:ilvl w:val="12"/>
          <w:numId w:val="0"/>
        </w:numPr>
        <w:tabs>
          <w:tab w:val="left" w:pos="0"/>
          <w:tab w:val="right" w:pos="9302"/>
        </w:tabs>
        <w:jc w:val="right"/>
        <w:rPr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CAPACITES PREALABLES REQUISES</w:t>
      </w:r>
    </w:p>
    <w:p>
      <w:pPr>
        <w:ind w:left="426"/>
        <w:rPr>
          <w:rFonts w:ascii="Times New Roman" w:hAnsi="Times New Roman"/>
          <w:b/>
          <w:sz w:val="22"/>
        </w:rPr>
      </w:pPr>
    </w:p>
    <w:p>
      <w:pPr>
        <w:ind w:left="567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2.1. Capacités</w:t>
      </w:r>
    </w:p>
    <w:p>
      <w:pPr>
        <w:tabs>
          <w:tab w:val="right" w:pos="1771"/>
        </w:tabs>
        <w:ind w:left="720"/>
        <w:rPr>
          <w:rFonts w:ascii="Times New Roman" w:hAnsi="Times New Roman"/>
          <w:sz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>En bachelier en construction : stage d’intégration professionnelle :</w:t>
      </w:r>
    </w:p>
    <w:p>
      <w:pPr>
        <w:ind w:left="270"/>
        <w:rPr>
          <w:rFonts w:ascii="Times New Roman" w:hAnsi="Times New Roman"/>
          <w:b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contribuer à la réalisation de tâches décrites dans le profil professionnel du bachelier en construction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décrire, au travers d’un rapport, ses activités  et en effectuer une analyse critique mettant en évidence les liens entre sa formation et ses futures compétences professionnelles.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rPr>
          <w:rFonts w:ascii="Times New Roman" w:hAnsi="Times New Roman"/>
          <w:i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  <w:r>
        <w:rPr>
          <w:rFonts w:ascii="Times New Roman" w:hAnsi="Times New Roman"/>
          <w:b/>
          <w:sz w:val="22"/>
          <w:szCs w:val="22"/>
          <w:lang w:eastAsia="ar-SA"/>
        </w:rPr>
        <w:t xml:space="preserve">En métré - devis – </w:t>
      </w:r>
      <w:proofErr w:type="gramStart"/>
      <w:r>
        <w:rPr>
          <w:rFonts w:ascii="Times New Roman" w:hAnsi="Times New Roman"/>
          <w:b/>
          <w:sz w:val="22"/>
          <w:szCs w:val="22"/>
          <w:lang w:eastAsia="ar-SA"/>
        </w:rPr>
        <w:t>planning  :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d’un dossier de construction,</w:t>
      </w:r>
    </w:p>
    <w:p>
      <w:pPr>
        <w:numPr>
          <w:ilvl w:val="12"/>
          <w:numId w:val="0"/>
        </w:numPr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lastRenderedPageBreak/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le support informatique et la documentation appropriés :</w:t>
      </w:r>
    </w:p>
    <w:p>
      <w:pPr>
        <w:numPr>
          <w:ilvl w:val="12"/>
          <w:numId w:val="0"/>
        </w:numPr>
        <w:ind w:left="284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réaliser le métré d'un projet ; 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calculer le devis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en établir le planning.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dessin technique et DAO en construction </w:t>
      </w:r>
    </w:p>
    <w:p>
      <w:pPr>
        <w:numPr>
          <w:ilvl w:val="12"/>
          <w:numId w:val="0"/>
        </w:numPr>
        <w:spacing w:after="160" w:line="259" w:lineRule="auto"/>
        <w:ind w:left="851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 les échelles, les conventions symboliques et les notations spécifiques du dessin,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à la construction,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d’un logiciel de DAO, approprié installé sur un ordinateur :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les éléments constitutifs des plans d’un projet de construction et les situer 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dessiner les différentes vues (plans, coupes, élévations, détails, axonométries, etc.) d’un projet de construction 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réaliser les mises en page et l’impression des plans.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  <w:r>
        <w:rPr>
          <w:rFonts w:ascii="Times New Roman" w:hAnsi="Times New Roman"/>
          <w:b/>
          <w:sz w:val="22"/>
          <w:szCs w:val="16"/>
          <w:lang w:eastAsia="ar-SA"/>
        </w:rPr>
        <w:t xml:space="preserve">En hydraulique appliquée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16"/>
          <w:lang w:eastAsia="ar-SA"/>
        </w:rPr>
      </w:pP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en vigueur et les principes de gestion durable,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face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à des situations liées à la profession,</w:t>
      </w:r>
    </w:p>
    <w:p>
      <w:pPr>
        <w:numPr>
          <w:ilvl w:val="12"/>
          <w:numId w:val="0"/>
        </w:numPr>
        <w:spacing w:after="160" w:line="259" w:lineRule="auto"/>
        <w:ind w:left="709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conformément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aux consignes données :</w:t>
      </w:r>
    </w:p>
    <w:p>
      <w:pPr>
        <w:spacing w:line="360" w:lineRule="auto"/>
        <w:ind w:left="567"/>
        <w:jc w:val="both"/>
        <w:rPr>
          <w:rFonts w:ascii="Times New Roman" w:eastAsia="Calibri" w:hAnsi="Times New Roman"/>
          <w:i/>
          <w:iCs/>
          <w:color w:val="FF0000"/>
          <w:sz w:val="22"/>
          <w:szCs w:val="22"/>
          <w:lang w:eastAsia="en-US"/>
        </w:rPr>
      </w:pP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décrire et expliquer le rôle des principaux éléments qui interviennent dans les processus de distribution, de démergement, d’égouttage et d’assainissement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analyser le fonctionnement de dispositifs hydrauliques grâce aux principes hydrostatiques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expliquer des phénomènes hydrauliques ;</w:t>
      </w:r>
    </w:p>
    <w:p>
      <w:pPr>
        <w:numPr>
          <w:ilvl w:val="0"/>
          <w:numId w:val="29"/>
        </w:numPr>
        <w:tabs>
          <w:tab w:val="num" w:pos="1068"/>
        </w:tabs>
        <w:spacing w:after="160" w:line="360" w:lineRule="auto"/>
        <w:ind w:left="1066" w:hanging="35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choisir et dimensionner un réseau élémentaire public et un réseau élémentaire privé :</w:t>
      </w:r>
    </w:p>
    <w:p>
      <w:pPr>
        <w:numPr>
          <w:ilvl w:val="1"/>
          <w:numId w:val="27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t>de distribution,</w:t>
      </w:r>
    </w:p>
    <w:p>
      <w:pPr>
        <w:numPr>
          <w:ilvl w:val="1"/>
          <w:numId w:val="27"/>
        </w:numPr>
        <w:spacing w:before="120" w:after="120" w:line="312" w:lineRule="auto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  <w:lang w:val="fr-BE"/>
        </w:rPr>
        <w:t>d’assainissement des eaux usées et des eaux pluviales.</w:t>
      </w:r>
    </w:p>
    <w:p>
      <w:pPr>
        <w:spacing w:after="160" w:line="259" w:lineRule="auto"/>
        <w:rPr>
          <w:rFonts w:ascii="Calibri" w:eastAsia="Calibri" w:hAnsi="Calibri"/>
          <w:sz w:val="22"/>
          <w:szCs w:val="22"/>
          <w:lang w:val="fr-BE" w:eastAsia="en-US"/>
        </w:rPr>
      </w:pPr>
    </w:p>
    <w:p>
      <w:pPr>
        <w:ind w:left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2.2. Titres pouvant en tenir lieu</w:t>
      </w:r>
    </w:p>
    <w:p>
      <w:pPr>
        <w:jc w:val="both"/>
        <w:rPr>
          <w:rFonts w:ascii="Times New Roman" w:hAnsi="Times New Roman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  <w:highlight w:val="yellow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Bachelier en construction : Stage d’intégration professionnelle », code n° 325309</w:t>
      </w:r>
      <w:bookmarkStart w:id="2" w:name="_GoBack"/>
      <w:bookmarkEnd w:id="2"/>
      <w:r>
        <w:rPr>
          <w:rFonts w:ascii="Times New Roman" w:hAnsi="Times New Roman"/>
          <w:snapToGrid w:val="0"/>
          <w:sz w:val="22"/>
        </w:rPr>
        <w:t>U31D1, classée dans l’enseignement supérieur de type court du domaine des sciences de l’ingénieur et technologie ;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  <w:r>
        <w:rPr>
          <w:rFonts w:ascii="Times New Roman" w:hAnsi="Times New Roman"/>
          <w:b/>
          <w:sz w:val="22"/>
          <w:szCs w:val="22"/>
        </w:rPr>
        <w:t xml:space="preserve"> 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métré – devis - planning  », code n° 323121U31D1, classée dans l’enseignement supérieur de type court du domaine des sciences de l’ingénieur et technologie.</w:t>
      </w: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dessin technique et DAO en construction», code n° 398105U31D1, classée dans l’enseignement supérieur de type court du domaine des sciences de l’ingénieur et technologie ;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  <w:proofErr w:type="gramStart"/>
      <w:r>
        <w:rPr>
          <w:rFonts w:ascii="Times New Roman" w:hAnsi="Times New Roman"/>
          <w:b/>
          <w:sz w:val="22"/>
          <w:szCs w:val="22"/>
        </w:rPr>
        <w:t>et</w:t>
      </w:r>
      <w:proofErr w:type="gramEnd"/>
    </w:p>
    <w:p>
      <w:pPr>
        <w:numPr>
          <w:ilvl w:val="12"/>
          <w:numId w:val="0"/>
        </w:numPr>
        <w:tabs>
          <w:tab w:val="left" w:pos="0"/>
          <w:tab w:val="right" w:pos="4195"/>
        </w:tabs>
        <w:ind w:left="709"/>
        <w:rPr>
          <w:rFonts w:ascii="Times New Roman" w:hAnsi="Times New Roman"/>
          <w:b/>
          <w:sz w:val="22"/>
          <w:szCs w:val="22"/>
        </w:rPr>
      </w:pPr>
    </w:p>
    <w:p>
      <w:pPr>
        <w:ind w:left="709"/>
        <w:jc w:val="both"/>
        <w:rPr>
          <w:rFonts w:ascii="Times New Roman" w:hAnsi="Times New Roman"/>
          <w:snapToGrid w:val="0"/>
          <w:sz w:val="22"/>
        </w:rPr>
      </w:pPr>
      <w:r>
        <w:rPr>
          <w:rFonts w:ascii="Times New Roman" w:hAnsi="Times New Roman"/>
          <w:snapToGrid w:val="0"/>
          <w:sz w:val="22"/>
        </w:rPr>
        <w:t>Attestation de réussite de l'unité d’enseignement « hydraulique appliquée», code n° 325266U31D2, classée dans l’enseignement supérieur de type court du domaine des sciences de l’ingénieur et technologie ;</w:t>
      </w:r>
    </w:p>
    <w:p>
      <w:pPr>
        <w:rPr>
          <w:rFonts w:ascii="Times New Roman" w:hAnsi="Times New Roman"/>
          <w:sz w:val="22"/>
        </w:rPr>
      </w:pPr>
    </w:p>
    <w:p>
      <w:pPr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</w:pPr>
    </w:p>
    <w:p>
      <w:pPr>
        <w:rPr>
          <w:rFonts w:ascii="Times New Roman" w:hAnsi="Times New Roman"/>
          <w:sz w:val="22"/>
        </w:rPr>
      </w:pPr>
    </w:p>
    <w:p>
      <w:pPr>
        <w:rPr>
          <w:rFonts w:ascii="Times New Roman" w:hAnsi="Times New Roman"/>
          <w:sz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ACQUIS D’APPRENTISSAGE</w:t>
      </w:r>
    </w:p>
    <w:p>
      <w:pPr>
        <w:spacing w:line="360" w:lineRule="auto"/>
        <w:rPr>
          <w:rFonts w:ascii="Times New Roman" w:hAnsi="Times New Roman"/>
          <w:sz w:val="22"/>
          <w:u w:val="single"/>
          <w:lang w:val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Pour atteindre le seuil de réussite</w:t>
      </w:r>
      <w:r>
        <w:rPr>
          <w:rFonts w:ascii="Times New Roman" w:hAnsi="Times New Roman"/>
          <w:sz w:val="22"/>
          <w:szCs w:val="22"/>
        </w:rPr>
        <w:t>, l'étudiant sera capable,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 de représentation,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 :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d’analyser les matériaux et le mode de construction des ouvrages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proposer des solutions appropriées et de les justifier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dimensionner un ouvrage d'art simple en tenant compte des conditions de stabilité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dessiner des détails d’ouvrage(s)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calculer des éléments géométriques et topographiques nécessaires en vue de dessiner des plans d’un projet relatif aux voies de communication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simuler l’organisation d’un chantier de génie civil sur les plans administratif, technique et législatif, y compris son état d’avancement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projet.</w:t>
      </w:r>
    </w:p>
    <w:p>
      <w:pPr>
        <w:autoSpaceDE w:val="0"/>
        <w:autoSpaceDN w:val="0"/>
        <w:adjustRightInd w:val="0"/>
        <w:rPr>
          <w:rFonts w:ascii="Times New Roman" w:hAnsi="Times New Roman"/>
          <w:b/>
          <w:sz w:val="22"/>
          <w:szCs w:val="22"/>
          <w:lang w:val="fr-BE"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lastRenderedPageBreak/>
        <w:t>Pour la détermination du degré de maîtrise</w:t>
      </w:r>
      <w:r>
        <w:rPr>
          <w:rFonts w:ascii="Times New Roman" w:hAnsi="Times New Roman"/>
          <w:sz w:val="22"/>
          <w:szCs w:val="22"/>
        </w:rPr>
        <w:t>, il sera tenu compte des critères suivants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cohérence : la capacité à établir une majorité de liens logiques pour former un ensemble organisé,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de précision : la clarté, la concision, la rigueur au niveau de la terminologie, des concepts et des techniques/principes/modèles/plans,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PROGRAMME</w:t>
      </w:r>
    </w:p>
    <w:p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  <w:lang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L'étudiant sera capable :</w:t>
      </w: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partir de situations issues de la vie professionnelle relatives au génie civil,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à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l’aide d’une documentation spécifique y compris en langue étrangère,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au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moyen de logiciels appropriés,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utilisant la terminologie des techniques du génie civil, 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respectant les normes, les échelles, les conventions et les notations spécifiques du dessin,</w:t>
      </w:r>
    </w:p>
    <w:p>
      <w:pPr>
        <w:widowControl w:val="0"/>
        <w:spacing w:before="120"/>
        <w:ind w:left="567"/>
        <w:jc w:val="both"/>
        <w:rPr>
          <w:rFonts w:ascii="Times New Roman" w:hAnsi="Times New Roman"/>
          <w:i/>
          <w:sz w:val="22"/>
          <w:szCs w:val="22"/>
        </w:rPr>
      </w:pPr>
      <w:proofErr w:type="gramStart"/>
      <w:r>
        <w:rPr>
          <w:rFonts w:ascii="Times New Roman" w:hAnsi="Times New Roman"/>
          <w:i/>
          <w:sz w:val="22"/>
          <w:szCs w:val="22"/>
        </w:rPr>
        <w:t>en</w:t>
      </w:r>
      <w:proofErr w:type="gramEnd"/>
      <w:r>
        <w:rPr>
          <w:rFonts w:ascii="Times New Roman" w:hAnsi="Times New Roman"/>
          <w:i/>
          <w:sz w:val="22"/>
          <w:szCs w:val="22"/>
        </w:rPr>
        <w:t xml:space="preserve"> faisant référence aux principes du code de mesurage et aux législations en vigueur (sécurité, incendie, accessibilité aux PMR, …),</w:t>
      </w: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  <w:lang w:eastAsia="fr-BE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Cs/>
          <w:sz w:val="22"/>
          <w:szCs w:val="22"/>
          <w:lang w:eastAsia="fr-BE"/>
        </w:rPr>
      </w:pPr>
    </w:p>
    <w:p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  <w:lang w:val="fr-BE" w:eastAsia="fr-BE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  <w:r>
        <w:rPr>
          <w:rFonts w:ascii="Times New Roman" w:hAnsi="Times New Roman"/>
          <w:b/>
          <w:bCs/>
          <w:sz w:val="22"/>
          <w:szCs w:val="22"/>
          <w:lang w:val="fr-BE" w:eastAsia="fr-BE"/>
        </w:rPr>
        <w:t xml:space="preserve">4.1. En laboratoire du </w:t>
      </w:r>
      <w:r>
        <w:rPr>
          <w:rFonts w:ascii="Times New Roman" w:hAnsi="Times New Roman"/>
          <w:b/>
          <w:bCs/>
          <w:szCs w:val="24"/>
          <w:lang w:val="fr-BE" w:eastAsia="fr-BE"/>
        </w:rPr>
        <w:t xml:space="preserve">bureau d’études </w:t>
      </w:r>
      <w:r>
        <w:rPr>
          <w:rFonts w:ascii="Times New Roman" w:hAnsi="Times New Roman"/>
          <w:b/>
          <w:bCs/>
          <w:sz w:val="22"/>
          <w:szCs w:val="22"/>
          <w:lang w:val="fr-BE" w:eastAsia="fr-BE"/>
        </w:rPr>
        <w:t>du génie civil :</w:t>
      </w:r>
    </w:p>
    <w:p>
      <w:pPr>
        <w:autoSpaceDE w:val="0"/>
        <w:autoSpaceDN w:val="0"/>
        <w:adjustRightInd w:val="0"/>
        <w:rPr>
          <w:rFonts w:ascii="Times New Roman" w:hAnsi="Times New Roman"/>
          <w:sz w:val="22"/>
          <w:szCs w:val="22"/>
          <w:lang w:val="fr-BE" w:eastAsia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d'énoncer les différentes sollicitations qui peuvent agir sur les ouvrages d'art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d'expliquer les conditions de stabilité (y compris les problèmes de fondation) spécifiques aux ouvrages d'art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dimensionner des ouvrages d'art simples en tenant compte des paramètres physiques liés à leur position géographique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d’analyser la composition des divers ouvrages d'art (béton armé, précontraint, mixte acier-béton, bois, …)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décrire les différentes méthodes et phases dans la construction des ouvrages d’art ;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sz w:val="22"/>
          <w:szCs w:val="22"/>
          <w:lang w:val="fr-BE" w:eastAsia="fr-BE"/>
        </w:rPr>
      </w:pPr>
      <w:r>
        <w:rPr>
          <w:rFonts w:ascii="Times New Roman" w:hAnsi="Times New Roman"/>
          <w:sz w:val="22"/>
          <w:szCs w:val="22"/>
          <w:lang w:val="fr-BE" w:eastAsia="fr-BE"/>
        </w:rPr>
        <w:tab/>
        <w:t>Ces objectifs seront poursuivis à l’occasion des points de programme suivants :</w:t>
      </w:r>
    </w:p>
    <w:p>
      <w:pPr>
        <w:pStyle w:val="Textebrut"/>
        <w:rPr>
          <w:rFonts w:ascii="Times New Roman" w:hAnsi="Times New Roman"/>
          <w:sz w:val="22"/>
        </w:rPr>
      </w:pP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de terrassements,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de soutènement,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aériens,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de voirie,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souterrains,</w:t>
      </w:r>
    </w:p>
    <w:p>
      <w:pPr>
        <w:pStyle w:val="Textebrut"/>
        <w:numPr>
          <w:ilvl w:val="0"/>
          <w:numId w:val="28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les ouvrages fluviaux et maritimes ;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d’exploiter un cahier spécial des charges ; 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lire et interpréter des plans relatifs à des ouvrages d’art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dessiner à une échelle adéquate et de coter des éléments relatifs aux ouvrages d’art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d’élaborer le plan de ferraillage et de coffrage d’un élément simple sur base d’une note de calcul du bureau d’études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d’élaborer un bordereau d’armatures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d’analyser et d’interpréter un plan de ferraillage et de coffrage d’un ouvrage de génie civil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porter un regard réflexif et critique sur son projet.</w:t>
      </w:r>
    </w:p>
    <w:p>
      <w:pPr>
        <w:tabs>
          <w:tab w:val="left" w:pos="360"/>
        </w:tabs>
        <w:spacing w:before="120" w:after="120"/>
        <w:ind w:left="1066"/>
        <w:jc w:val="both"/>
        <w:rPr>
          <w:rFonts w:ascii="Times New Roman" w:hAnsi="Times New Roman"/>
          <w:sz w:val="22"/>
        </w:rPr>
      </w:pP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</w:rPr>
      </w:pPr>
    </w:p>
    <w:p>
      <w:pPr>
        <w:autoSpaceDE w:val="0"/>
        <w:autoSpaceDN w:val="0"/>
        <w:adjustRightInd w:val="0"/>
        <w:ind w:firstLine="284"/>
        <w:rPr>
          <w:rFonts w:ascii="Times New Roman" w:hAnsi="Times New Roman"/>
          <w:b/>
          <w:bCs/>
          <w:sz w:val="22"/>
          <w:szCs w:val="22"/>
          <w:lang w:val="fr-BE" w:eastAsia="fr-BE"/>
        </w:rPr>
      </w:pPr>
      <w:r>
        <w:rPr>
          <w:rFonts w:ascii="Times New Roman" w:hAnsi="Times New Roman"/>
          <w:b/>
          <w:bCs/>
          <w:sz w:val="22"/>
          <w:szCs w:val="22"/>
          <w:lang w:val="fr-BE" w:eastAsia="fr-BE"/>
        </w:rPr>
        <w:t>4.2 En organisation de chantier du génie civil :</w:t>
      </w:r>
    </w:p>
    <w:p>
      <w:pPr>
        <w:widowControl w:val="0"/>
        <w:spacing w:before="120"/>
        <w:jc w:val="both"/>
        <w:rPr>
          <w:rFonts w:ascii="Times New Roman" w:hAnsi="Times New Roman"/>
          <w:sz w:val="22"/>
          <w:szCs w:val="22"/>
          <w:lang w:val="fr-BE"/>
        </w:rPr>
      </w:pP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une installation de chantier et d’en définir les implications intérieures et extérieures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répercuter sur ces installations l’imposition des législations, permis, arrêtés communaux, de police, …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d’organiser les ressources humaines, les ressources en équipement et en matériel d’un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de gérer les approvisionnements et la problématique des déchets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l’évolution financière du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situer les rôles et les responsabilités des différents partenaires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veiller au respect du code du bien-être au travail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principes fondamentaux de la démarche qualité propres à l’organisation de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les mesures prévues au plan de sécurité et de santé et au cahier des charges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d’utiliser  les moyens de communication adéquats pour la circulation de l’information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d’appliquer ses compétences techniques dans les différentes phases du chantier 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gérer le journal des travaux (intempéries, nombre d’hommes, qualifications, travaux réalisés, états d’avancements journaliers, correspondances au prévisionnel,…) ;</w:t>
      </w:r>
    </w:p>
    <w:p>
      <w:pPr>
        <w:numPr>
          <w:ilvl w:val="0"/>
          <w:numId w:val="1"/>
        </w:numPr>
        <w:tabs>
          <w:tab w:val="left" w:pos="360"/>
        </w:tabs>
        <w:spacing w:before="120" w:after="120"/>
        <w:ind w:left="1066" w:hanging="357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 suivre  les états d’avancement comptable et quantitatif.</w:t>
      </w:r>
    </w:p>
    <w:p>
      <w:pPr>
        <w:widowControl w:val="0"/>
        <w:spacing w:before="120"/>
        <w:ind w:left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 xml:space="preserve">CONSTITUTION DES GROUPES OU REGROUPEMENT </w:t>
      </w:r>
    </w:p>
    <w:p>
      <w:pPr>
        <w:tabs>
          <w:tab w:val="left" w:pos="567"/>
        </w:tabs>
        <w:spacing w:line="360" w:lineRule="auto"/>
        <w:ind w:left="180"/>
        <w:jc w:val="both"/>
        <w:rPr>
          <w:rFonts w:ascii="Times New Roman" w:hAnsi="Times New Roman"/>
          <w:b/>
          <w:caps/>
          <w:sz w:val="22"/>
          <w:szCs w:val="22"/>
          <w:u w:val="single"/>
        </w:rPr>
      </w:pPr>
    </w:p>
    <w:p>
      <w:pPr>
        <w:tabs>
          <w:tab w:val="left" w:pos="851"/>
        </w:tabs>
        <w:autoSpaceDE w:val="0"/>
        <w:autoSpaceDN w:val="0"/>
        <w:ind w:left="284"/>
        <w:jc w:val="both"/>
        <w:rPr>
          <w:rFonts w:ascii="Times New Roman" w:hAnsi="Times New Roman"/>
          <w:sz w:val="22"/>
          <w:szCs w:val="22"/>
          <w:lang w:val="fr-BE"/>
        </w:rPr>
      </w:pPr>
      <w:r>
        <w:rPr>
          <w:rFonts w:ascii="Times New Roman" w:hAnsi="Times New Roman"/>
          <w:sz w:val="22"/>
          <w:szCs w:val="22"/>
        </w:rPr>
        <w:t>Pour le laboratoire du bureau d’études du génie civil</w:t>
      </w:r>
      <w:r>
        <w:rPr>
          <w:rFonts w:ascii="Times New Roman" w:hAnsi="Times New Roman"/>
          <w:sz w:val="22"/>
          <w:szCs w:val="22"/>
          <w:lang w:val="fr-BE"/>
        </w:rPr>
        <w:t>, il est recommandé de ne pas dépasser deux étudiants par poste de travail et vingt étudiants par groupe.</w:t>
      </w:r>
    </w:p>
    <w:p>
      <w:pPr>
        <w:autoSpaceDE w:val="0"/>
        <w:autoSpaceDN w:val="0"/>
        <w:adjustRightInd w:val="0"/>
        <w:ind w:left="360"/>
        <w:rPr>
          <w:rFonts w:ascii="Times New Roman" w:hAnsi="Times New Roman"/>
          <w:color w:val="000000"/>
          <w:highlight w:val="yellow"/>
        </w:rPr>
      </w:pPr>
    </w:p>
    <w:p>
      <w:pPr>
        <w:pStyle w:val="Retraitcorpsdetexte"/>
        <w:ind w:left="284"/>
        <w:rPr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CHARGE DE COURS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center"/>
        <w:rPr>
          <w:rFonts w:ascii="Times New Roman" w:hAnsi="Times New Roman"/>
          <w:sz w:val="22"/>
          <w:szCs w:val="22"/>
        </w:rPr>
      </w:pP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Un enseignant ou un expert.</w:t>
      </w:r>
    </w:p>
    <w:p>
      <w:pPr>
        <w:ind w:left="252"/>
        <w:rPr>
          <w:rFonts w:ascii="Times New Roman" w:hAnsi="Times New Roman"/>
          <w:sz w:val="22"/>
          <w:szCs w:val="22"/>
        </w:rPr>
      </w:pPr>
    </w:p>
    <w:p>
      <w:pPr>
        <w:ind w:left="252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sz w:val="22"/>
          <w:szCs w:val="22"/>
        </w:rPr>
      </w:pPr>
    </w:p>
    <w:p>
      <w:pPr>
        <w:pStyle w:val="Titre2"/>
        <w:numPr>
          <w:ilvl w:val="0"/>
          <w:numId w:val="11"/>
        </w:numPr>
        <w:jc w:val="left"/>
        <w:rPr>
          <w:sz w:val="22"/>
        </w:rPr>
      </w:pPr>
      <w:r>
        <w:rPr>
          <w:sz w:val="22"/>
        </w:rPr>
        <w:t>HORAIRE MINIMUM DE L'UNITE D’ENSEIGNEMENT</w:t>
      </w:r>
    </w:p>
    <w:p>
      <w:pPr>
        <w:rPr>
          <w:u w:val="single"/>
        </w:rPr>
      </w:pPr>
    </w:p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9"/>
        <w:gridCol w:w="1544"/>
        <w:gridCol w:w="1221"/>
        <w:gridCol w:w="1369"/>
      </w:tblGrid>
      <w:tr>
        <w:trPr>
          <w:cantSplit/>
        </w:trPr>
        <w:tc>
          <w:tcPr>
            <w:tcW w:w="585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before="12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7.1. Dénomination des cours</w:t>
            </w:r>
          </w:p>
        </w:tc>
        <w:tc>
          <w:tcPr>
            <w:tcW w:w="15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Classement </w:t>
            </w:r>
          </w:p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Code U</w:t>
            </w:r>
          </w:p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Laboratoire du bureau d’études du génie civil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Organisation de chantier du génie civil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ind w:left="709" w:hanging="709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</w:tr>
      <w:tr>
        <w:trPr>
          <w:cantSplit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7.2. Part d'autonomie</w:t>
            </w: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</w:t>
            </w: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</w:tr>
      <w:tr>
        <w:trPr>
          <w:cantSplit/>
          <w:trHeight w:val="373"/>
        </w:trPr>
        <w:tc>
          <w:tcPr>
            <w:tcW w:w="585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Total des périodes</w:t>
            </w:r>
          </w:p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36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160</w:t>
            </w:r>
          </w:p>
        </w:tc>
      </w:tr>
    </w:tbl>
    <w:p/>
    <w:p/>
    <w:p>
      <w:pPr>
        <w:numPr>
          <w:ilvl w:val="12"/>
          <w:numId w:val="0"/>
        </w:numPr>
        <w:tabs>
          <w:tab w:val="left" w:pos="567"/>
        </w:tabs>
        <w:ind w:left="284" w:hanging="284"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>
      <w:pPr>
        <w:spacing w:line="360" w:lineRule="auto"/>
        <w:rPr>
          <w:rFonts w:ascii="Times New Roman" w:hAnsi="Times New Roman"/>
          <w:sz w:val="22"/>
          <w:szCs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oType Naskh">
    <w:panose1 w:val="00000000000000000000"/>
    <w:charset w:val="00"/>
    <w:family w:val="roman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tabs>
        <w:tab w:val="center" w:pos="5245"/>
        <w:tab w:val="right" w:pos="9072"/>
      </w:tabs>
      <w:rPr>
        <w:rFonts w:ascii="Times New Roman" w:hAnsi="Times New Roman"/>
        <w:sz w:val="18"/>
        <w:szCs w:val="18"/>
        <w:lang w:val="fr-BE"/>
      </w:rPr>
    </w:pPr>
    <w:r>
      <w:rPr>
        <w:rFonts w:ascii="Times New Roman" w:hAnsi="Times New Roman"/>
        <w:sz w:val="18"/>
        <w:szCs w:val="18"/>
        <w:lang w:val="fr-BE"/>
      </w:rPr>
      <w:t>Bachelier en construction - UE Bureau d’études du génie civil</w:t>
    </w:r>
    <w:r>
      <w:rPr>
        <w:rFonts w:ascii="Times New Roman" w:hAnsi="Times New Roman"/>
        <w:sz w:val="18"/>
        <w:szCs w:val="18"/>
        <w:lang w:val="fr-BE"/>
      </w:rPr>
      <w:tab/>
    </w:r>
    <w:r>
      <w:rPr>
        <w:rFonts w:ascii="Times New Roman" w:hAnsi="Times New Roman"/>
        <w:sz w:val="18"/>
        <w:szCs w:val="18"/>
        <w:lang w:val="fr-BE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4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fr-BE"/>
      </w:rPr>
      <w:t xml:space="preserve"> sur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fr-BE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fr-BE"/>
      </w:rPr>
      <w:t>7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>
    <w:pPr>
      <w:pStyle w:val="Pieddepage"/>
      <w:rPr>
        <w:lang w:val="fr-B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43778D"/>
    <w:multiLevelType w:val="hybridMultilevel"/>
    <w:tmpl w:val="60DA04A4"/>
    <w:lvl w:ilvl="0" w:tplc="FFFFFFFF">
      <w:start w:val="1"/>
      <w:numFmt w:val="bullet"/>
      <w:lvlText w:val=""/>
      <w:lvlJc w:val="left"/>
      <w:pPr>
        <w:tabs>
          <w:tab w:val="num" w:pos="757"/>
        </w:tabs>
        <w:ind w:left="757" w:hanging="360"/>
      </w:pPr>
      <w:rPr>
        <w:rFonts w:ascii="Symbol" w:hAnsi="Symbol" w:hint="default"/>
      </w:rPr>
    </w:lvl>
    <w:lvl w:ilvl="1" w:tplc="040C0019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EF15AA"/>
    <w:multiLevelType w:val="hybridMultilevel"/>
    <w:tmpl w:val="1AEC1E4E"/>
    <w:lvl w:ilvl="0" w:tplc="080C000F">
      <w:start w:val="1"/>
      <w:numFmt w:val="decimal"/>
      <w:lvlText w:val="%1."/>
      <w:lvlJc w:val="left"/>
      <w:pPr>
        <w:ind w:left="644" w:hanging="360"/>
      </w:pPr>
      <w:rPr>
        <w:rFonts w:hint="default"/>
        <w:u w:val="none"/>
      </w:rPr>
    </w:lvl>
    <w:lvl w:ilvl="1" w:tplc="080C0019" w:tentative="1">
      <w:start w:val="1"/>
      <w:numFmt w:val="lowerLetter"/>
      <w:lvlText w:val="%2."/>
      <w:lvlJc w:val="left"/>
      <w:pPr>
        <w:ind w:left="1364" w:hanging="360"/>
      </w:pPr>
    </w:lvl>
    <w:lvl w:ilvl="2" w:tplc="080C001B" w:tentative="1">
      <w:start w:val="1"/>
      <w:numFmt w:val="lowerRoman"/>
      <w:lvlText w:val="%3."/>
      <w:lvlJc w:val="right"/>
      <w:pPr>
        <w:ind w:left="2084" w:hanging="180"/>
      </w:pPr>
    </w:lvl>
    <w:lvl w:ilvl="3" w:tplc="080C000F" w:tentative="1">
      <w:start w:val="1"/>
      <w:numFmt w:val="decimal"/>
      <w:lvlText w:val="%4."/>
      <w:lvlJc w:val="left"/>
      <w:pPr>
        <w:ind w:left="2804" w:hanging="360"/>
      </w:pPr>
    </w:lvl>
    <w:lvl w:ilvl="4" w:tplc="080C0019" w:tentative="1">
      <w:start w:val="1"/>
      <w:numFmt w:val="lowerLetter"/>
      <w:lvlText w:val="%5."/>
      <w:lvlJc w:val="left"/>
      <w:pPr>
        <w:ind w:left="3524" w:hanging="360"/>
      </w:pPr>
    </w:lvl>
    <w:lvl w:ilvl="5" w:tplc="080C001B" w:tentative="1">
      <w:start w:val="1"/>
      <w:numFmt w:val="lowerRoman"/>
      <w:lvlText w:val="%6."/>
      <w:lvlJc w:val="right"/>
      <w:pPr>
        <w:ind w:left="4244" w:hanging="180"/>
      </w:pPr>
    </w:lvl>
    <w:lvl w:ilvl="6" w:tplc="080C000F" w:tentative="1">
      <w:start w:val="1"/>
      <w:numFmt w:val="decimal"/>
      <w:lvlText w:val="%7."/>
      <w:lvlJc w:val="left"/>
      <w:pPr>
        <w:ind w:left="4964" w:hanging="360"/>
      </w:pPr>
    </w:lvl>
    <w:lvl w:ilvl="7" w:tplc="080C0019" w:tentative="1">
      <w:start w:val="1"/>
      <w:numFmt w:val="lowerLetter"/>
      <w:lvlText w:val="%8."/>
      <w:lvlJc w:val="left"/>
      <w:pPr>
        <w:ind w:left="5684" w:hanging="360"/>
      </w:pPr>
    </w:lvl>
    <w:lvl w:ilvl="8" w:tplc="08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2E64E0"/>
    <w:multiLevelType w:val="hybridMultilevel"/>
    <w:tmpl w:val="44F031BE"/>
    <w:lvl w:ilvl="0" w:tplc="6FDA5B76">
      <w:numFmt w:val="bullet"/>
      <w:lvlText w:val=""/>
      <w:lvlJc w:val="left"/>
      <w:pPr>
        <w:tabs>
          <w:tab w:val="num" w:pos="909"/>
        </w:tabs>
        <w:ind w:left="909" w:firstLine="226"/>
      </w:pPr>
      <w:rPr>
        <w:rFonts w:ascii="Symbol" w:hAnsi="Symbol" w:hint="default"/>
        <w:b/>
        <w:i w:val="0"/>
        <w:sz w:val="20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D3556E3"/>
    <w:multiLevelType w:val="hybridMultilevel"/>
    <w:tmpl w:val="4E708B24"/>
    <w:lvl w:ilvl="0" w:tplc="6FDA5B76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635B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2980742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6C235A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FD01E4A"/>
    <w:multiLevelType w:val="singleLevel"/>
    <w:tmpl w:val="FFFFFFFF"/>
    <w:lvl w:ilvl="0">
      <w:numFmt w:val="decimal"/>
      <w:lvlText w:val="*"/>
      <w:lvlJc w:val="left"/>
    </w:lvl>
  </w:abstractNum>
  <w:abstractNum w:abstractNumId="9" w15:restartNumberingAfterBreak="0">
    <w:nsid w:val="223F10A9"/>
    <w:multiLevelType w:val="singleLevel"/>
    <w:tmpl w:val="7EF86974"/>
    <w:lvl w:ilvl="0">
      <w:start w:val="1"/>
      <w:numFmt w:val="bullet"/>
      <w:lvlText w:val=""/>
      <w:lvlJc w:val="left"/>
      <w:pPr>
        <w:tabs>
          <w:tab w:val="num" w:pos="2127"/>
        </w:tabs>
        <w:ind w:left="2127" w:hanging="567"/>
      </w:pPr>
      <w:rPr>
        <w:rFonts w:ascii="Symbol" w:hAnsi="Symbol" w:hint="default"/>
        <w:sz w:val="22"/>
      </w:rPr>
    </w:lvl>
  </w:abstractNum>
  <w:abstractNum w:abstractNumId="10" w15:restartNumberingAfterBreak="0">
    <w:nsid w:val="25125C79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2A3A348C"/>
    <w:multiLevelType w:val="multilevel"/>
    <w:tmpl w:val="41A6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75742B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91A4BFD"/>
    <w:multiLevelType w:val="hybridMultilevel"/>
    <w:tmpl w:val="DE4CC702"/>
    <w:lvl w:ilvl="0" w:tplc="B15CAD50">
      <w:numFmt w:val="bullet"/>
      <w:lvlText w:val=""/>
      <w:lvlJc w:val="left"/>
      <w:pPr>
        <w:tabs>
          <w:tab w:val="num" w:pos="625"/>
        </w:tabs>
        <w:ind w:left="625" w:firstLine="226"/>
      </w:pPr>
      <w:rPr>
        <w:rFonts w:ascii="Symbol" w:hAnsi="Symbol" w:hint="default"/>
        <w:b/>
        <w:i w:val="0"/>
        <w:sz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30CA4"/>
    <w:multiLevelType w:val="hybridMultilevel"/>
    <w:tmpl w:val="68306D50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17" w15:restartNumberingAfterBreak="0">
    <w:nsid w:val="51D22545"/>
    <w:multiLevelType w:val="hybridMultilevel"/>
    <w:tmpl w:val="F2D8F570"/>
    <w:lvl w:ilvl="0" w:tplc="549AFC1E">
      <w:start w:val="14"/>
      <w:numFmt w:val="bullet"/>
      <w:lvlText w:val="-"/>
      <w:lvlJc w:val="left"/>
      <w:pPr>
        <w:ind w:left="1630" w:hanging="360"/>
      </w:pPr>
      <w:rPr>
        <w:rFonts w:ascii="Century Gothic" w:eastAsia="DecoType Naskh" w:hAnsi="Century Gothic" w:cs="DecoType Naskh" w:hint="default"/>
      </w:rPr>
    </w:lvl>
    <w:lvl w:ilvl="1" w:tplc="080C0003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80C0005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80C000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80C0003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80C0005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80C000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80C0003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80C0005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18" w15:restartNumberingAfterBreak="0">
    <w:nsid w:val="536C2550"/>
    <w:multiLevelType w:val="hybridMultilevel"/>
    <w:tmpl w:val="49524F10"/>
    <w:lvl w:ilvl="0" w:tplc="AAFAE2E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27BDC"/>
    <w:multiLevelType w:val="hybridMultilevel"/>
    <w:tmpl w:val="FDEE282A"/>
    <w:lvl w:ilvl="0" w:tplc="040C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1" w:tplc="080C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0" w15:restartNumberingAfterBreak="0">
    <w:nsid w:val="60D7588D"/>
    <w:multiLevelType w:val="singleLevel"/>
    <w:tmpl w:val="656423D0"/>
    <w:lvl w:ilvl="0">
      <w:start w:val="1"/>
      <w:numFmt w:val="bullet"/>
      <w:lvlText w:val="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sz w:val="22"/>
      </w:rPr>
    </w:lvl>
  </w:abstractNum>
  <w:abstractNum w:abstractNumId="21" w15:restartNumberingAfterBreak="0">
    <w:nsid w:val="610E12D3"/>
    <w:multiLevelType w:val="hybridMultilevel"/>
    <w:tmpl w:val="ACFE419E"/>
    <w:lvl w:ilvl="0" w:tplc="3EAC9DB6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690D581F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3" w15:restartNumberingAfterBreak="0">
    <w:nsid w:val="71550EA8"/>
    <w:multiLevelType w:val="multilevel"/>
    <w:tmpl w:val="CCD0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re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778501F1"/>
    <w:multiLevelType w:val="hybridMultilevel"/>
    <w:tmpl w:val="7020FA7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1502DB"/>
    <w:multiLevelType w:val="multilevel"/>
    <w:tmpl w:val="7406A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4A5467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3">
    <w:abstractNumId w:val="16"/>
  </w:num>
  <w:num w:numId="4">
    <w:abstractNumId w:val="6"/>
  </w:num>
  <w:num w:numId="5">
    <w:abstractNumId w:val="7"/>
  </w:num>
  <w:num w:numId="6">
    <w:abstractNumId w:val="12"/>
  </w:num>
  <w:num w:numId="7">
    <w:abstractNumId w:val="5"/>
  </w:num>
  <w:num w:numId="8">
    <w:abstractNumId w:val="26"/>
  </w:num>
  <w:num w:numId="9">
    <w:abstractNumId w:val="21"/>
  </w:num>
  <w:num w:numId="10">
    <w:abstractNumId w:val="24"/>
  </w:num>
  <w:num w:numId="11">
    <w:abstractNumId w:val="2"/>
  </w:num>
  <w:num w:numId="12">
    <w:abstractNumId w:val="15"/>
  </w:num>
  <w:num w:numId="13">
    <w:abstractNumId w:val="13"/>
  </w:num>
  <w:num w:numId="14">
    <w:abstractNumId w:val="4"/>
  </w:num>
  <w:num w:numId="15">
    <w:abstractNumId w:val="23"/>
  </w:num>
  <w:num w:numId="16">
    <w:abstractNumId w:val="3"/>
  </w:num>
  <w:num w:numId="17">
    <w:abstractNumId w:val="8"/>
  </w:num>
  <w:num w:numId="18">
    <w:abstractNumId w:val="17"/>
  </w:num>
  <w:num w:numId="19">
    <w:abstractNumId w:val="25"/>
  </w:num>
  <w:num w:numId="20">
    <w:abstractNumId w:val="11"/>
  </w:num>
  <w:num w:numId="21">
    <w:abstractNumId w:val="20"/>
  </w:num>
  <w:num w:numId="22">
    <w:abstractNumId w:val="14"/>
  </w:num>
  <w:num w:numId="23">
    <w:abstractNumId w:val="9"/>
  </w:num>
  <w:num w:numId="24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25">
    <w:abstractNumId w:val="10"/>
  </w:num>
  <w:num w:numId="26">
    <w:abstractNumId w:val="18"/>
  </w:num>
  <w:num w:numId="27">
    <w:abstractNumId w:val="1"/>
  </w:num>
  <w:num w:numId="28">
    <w:abstractNumId w:val="19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725B8C5-8979-4012-8AA6-9C1285CBB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4"/>
      <w:lang w:val="fr-FR" w:eastAsia="fr-FR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Times New Roman" w:hAnsi="Times New Roman"/>
      <w:b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5"/>
      </w:numPr>
      <w:spacing w:before="240" w:after="60"/>
      <w:outlineLvl w:val="3"/>
    </w:pPr>
    <w:rPr>
      <w:b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Times New Roman" w:hAnsi="Times New Roman"/>
      <w:b/>
      <w:caps/>
      <w:snapToGrid w:val="0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jc w:val="center"/>
    </w:pPr>
    <w:rPr>
      <w:b/>
      <w:sz w:val="36"/>
      <w:lang w:val="fr-BE"/>
    </w:rPr>
  </w:style>
  <w:style w:type="paragraph" w:customStyle="1" w:styleId="normal01">
    <w:name w:val="normal01"/>
    <w:basedOn w:val="Normal"/>
    <w:pPr>
      <w:widowControl w:val="0"/>
      <w:spacing w:line="240" w:lineRule="atLeast"/>
    </w:pPr>
    <w:rPr>
      <w:rFonts w:ascii="Times New Roman" w:hAnsi="Times New Roman"/>
      <w:sz w:val="22"/>
    </w:rPr>
  </w:style>
  <w:style w:type="paragraph" w:styleId="Retraitcorpsdetexte2">
    <w:name w:val="Body Text Indent 2"/>
    <w:basedOn w:val="Normal"/>
    <w:pPr>
      <w:ind w:left="426"/>
    </w:pPr>
    <w:rPr>
      <w:rFonts w:ascii="Times New Roman" w:hAnsi="Times New Roman"/>
      <w:snapToGrid w:val="0"/>
      <w:sz w:val="22"/>
    </w:rPr>
  </w:style>
  <w:style w:type="paragraph" w:styleId="Retraitcorpsdetexte">
    <w:name w:val="Body Text Indent"/>
    <w:basedOn w:val="Normal"/>
    <w:pPr>
      <w:ind w:left="709"/>
    </w:pPr>
    <w:rPr>
      <w:rFonts w:ascii="Times New Roman" w:hAnsi="Times New Roman"/>
      <w:sz w:val="22"/>
      <w:lang w:val="fr-BE"/>
    </w:r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Pr>
      <w:rFonts w:ascii="Arial" w:hAnsi="Arial"/>
      <w:sz w:val="24"/>
      <w:lang w:val="fr-FR" w:eastAsia="fr-FR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</w:rPr>
  </w:style>
  <w:style w:type="character" w:customStyle="1" w:styleId="CommentaireCar">
    <w:name w:val="Commentaire Car"/>
    <w:link w:val="Commentaire"/>
    <w:rPr>
      <w:rFonts w:ascii="Arial" w:hAnsi="Arial"/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rFonts w:ascii="Arial" w:hAnsi="Arial"/>
      <w:b/>
      <w:bCs/>
      <w:lang w:val="fr-FR" w:eastAsia="fr-FR"/>
    </w:rPr>
  </w:style>
  <w:style w:type="paragraph" w:styleId="Textedebulles">
    <w:name w:val="Balloon Text"/>
    <w:basedOn w:val="Normal"/>
    <w:link w:val="TextedebullesCar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Pr>
      <w:rFonts w:ascii="Tahoma" w:hAnsi="Tahoma" w:cs="Tahoma"/>
      <w:sz w:val="16"/>
      <w:szCs w:val="16"/>
      <w:lang w:val="fr-FR" w:eastAsia="fr-FR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016">
    <w:name w:val="normal01+6"/>
    <w:basedOn w:val="Default"/>
    <w:next w:val="Default"/>
    <w:uiPriority w:val="99"/>
    <w:rPr>
      <w:rFonts w:ascii="Symbol" w:hAnsi="Symbol"/>
      <w:color w:val="auto"/>
    </w:rPr>
  </w:style>
  <w:style w:type="paragraph" w:customStyle="1" w:styleId="Style15">
    <w:name w:val="Style1+5"/>
    <w:basedOn w:val="Default"/>
    <w:next w:val="Default"/>
    <w:uiPriority w:val="99"/>
    <w:rPr>
      <w:color w:val="auto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tedefin">
    <w:name w:val="endnote text"/>
    <w:basedOn w:val="Normal"/>
    <w:link w:val="NotedefinCar"/>
    <w:semiHidden/>
    <w:unhideWhenUsed/>
    <w:rPr>
      <w:sz w:val="20"/>
    </w:rPr>
  </w:style>
  <w:style w:type="character" w:customStyle="1" w:styleId="NotedefinCar">
    <w:name w:val="Note de fin Car"/>
    <w:basedOn w:val="Policepardfaut"/>
    <w:link w:val="Notedefin"/>
    <w:semiHidden/>
    <w:rPr>
      <w:rFonts w:ascii="Arial" w:hAnsi="Arial"/>
      <w:lang w:val="fr-FR" w:eastAsia="fr-FR"/>
    </w:rPr>
  </w:style>
  <w:style w:type="character" w:styleId="Appeldenotedefin">
    <w:name w:val="endnote reference"/>
    <w:basedOn w:val="Policepardfaut"/>
    <w:semiHidden/>
    <w:unhideWhenUsed/>
    <w:rPr>
      <w:vertAlign w:val="superscript"/>
    </w:rPr>
  </w:style>
  <w:style w:type="character" w:styleId="Lienhypertexte">
    <w:name w:val="Hyperlink"/>
    <w:basedOn w:val="Policepardfaut"/>
    <w:uiPriority w:val="99"/>
    <w:semiHidden/>
    <w:unhideWhenUsed/>
    <w:rPr>
      <w:color w:val="0000FF"/>
      <w:u w:val="single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styleId="Textebrut">
    <w:name w:val="Plain Text"/>
    <w:basedOn w:val="Normal"/>
    <w:link w:val="TextebrutCar"/>
    <w:rPr>
      <w:rFonts w:ascii="Courier New" w:hAnsi="Courier New"/>
      <w:sz w:val="20"/>
    </w:rPr>
  </w:style>
  <w:style w:type="character" w:customStyle="1" w:styleId="TextebrutCar">
    <w:name w:val="Texte brut Car"/>
    <w:basedOn w:val="Policepardfaut"/>
    <w:link w:val="Textebrut"/>
    <w:rPr>
      <w:rFonts w:ascii="Courier New" w:hAnsi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0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5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6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78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34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07938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36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02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93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98912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0227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596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408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6475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185CB0BF-28A8-4EAF-997D-AE7F338C9F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7EDB84-A1BE-4747-A09B-E7E4BE913F3B}"/>
</file>

<file path=customXml/itemProps3.xml><?xml version="1.0" encoding="utf-8"?>
<ds:datastoreItem xmlns:ds="http://schemas.openxmlformats.org/officeDocument/2006/customXml" ds:itemID="{7B2FF2A4-E3B2-4B5B-B29D-1F22E3CB3D3B}"/>
</file>

<file path=customXml/itemProps4.xml><?xml version="1.0" encoding="utf-8"?>
<ds:datastoreItem xmlns:ds="http://schemas.openxmlformats.org/officeDocument/2006/customXml" ds:itemID="{A3079883-2D7A-4743-A071-049C61B59F3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1502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ieps</Company>
  <LinksUpToDate>false</LinksUpToDate>
  <CharactersWithSpaces>9750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ieps</dc:creator>
  <cp:lastModifiedBy>goulet02</cp:lastModifiedBy>
  <cp:revision>11</cp:revision>
  <cp:lastPrinted>2017-11-06T14:03:00Z</cp:lastPrinted>
  <dcterms:created xsi:type="dcterms:W3CDTF">2018-08-21T13:46:00Z</dcterms:created>
  <dcterms:modified xsi:type="dcterms:W3CDTF">2019-10-10T14:39:00Z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