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18"/>
          <w:lang w:val="fr-FR"/>
        </w:rPr>
      </w:pPr>
      <w:r>
        <w:rPr>
          <w:rFonts w:ascii="Times New Roman" w:hAnsi="Times New Roman"/>
          <w:b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DOSSIER PEDAGOGIQUE</w:t>
      </w:r>
    </w:p>
    <w:p>
      <w:pPr>
        <w:jc w:val="center"/>
        <w:rPr>
          <w:sz w:val="28"/>
          <w:szCs w:val="28"/>
        </w:rPr>
      </w:pPr>
    </w:p>
    <w:p/>
    <w:p/>
    <w:p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UNITE D’ENSEIGNEMENT</w:t>
      </w:r>
    </w:p>
    <w:p>
      <w:pPr>
        <w:jc w:val="center"/>
        <w:rPr>
          <w:b/>
          <w:bCs/>
        </w:rPr>
      </w:pPr>
      <w:bookmarkStart w:id="0" w:name="Titre"/>
      <w:bookmarkEnd w:id="0"/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APPROCHE MULTICULTURELLE</w:t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>DE LA NEGOCIATION ET DU MARKETING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suppressAutoHyphens w:val="0"/>
        <w:jc w:val="center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ENSEIGNEMENT </w:t>
      </w:r>
      <w:r>
        <w:rPr>
          <w:b/>
          <w:caps/>
          <w:sz w:val="22"/>
          <w:lang w:eastAsia="fr-FR"/>
        </w:rPr>
        <w:t>supérieur DE TYPE COURT</w:t>
      </w:r>
    </w:p>
    <w:p>
      <w:pPr>
        <w:suppressAutoHyphens w:val="0"/>
        <w:jc w:val="center"/>
        <w:rPr>
          <w:sz w:val="24"/>
          <w:szCs w:val="24"/>
          <w:lang w:eastAsia="fr-FR"/>
        </w:rPr>
      </w:pPr>
    </w:p>
    <w:p>
      <w:pPr>
        <w:suppressAutoHyphens w:val="0"/>
        <w:jc w:val="center"/>
        <w:rPr>
          <w:rFonts w:eastAsia="Calibri"/>
          <w:sz w:val="24"/>
          <w:szCs w:val="24"/>
          <w:lang w:val="fr-BE" w:eastAsia="fr-BE"/>
        </w:rPr>
      </w:pPr>
      <w:r>
        <w:rPr>
          <w:b/>
          <w:smallCaps/>
          <w:spacing w:val="5"/>
          <w:sz w:val="24"/>
          <w:szCs w:val="24"/>
          <w:lang w:eastAsia="fr-FR"/>
        </w:rPr>
        <w:t>Domaine : Sciences économiques et de gestion</w:t>
      </w:r>
    </w:p>
    <w:p>
      <w:pPr>
        <w:suppressAutoHyphens w:val="0"/>
        <w:jc w:val="center"/>
        <w:rPr>
          <w:b/>
          <w:smallCaps/>
          <w:spacing w:val="5"/>
          <w:sz w:val="24"/>
          <w:szCs w:val="24"/>
          <w:lang w:val="fr-BE" w:eastAsia="fr-FR"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 xml:space="preserve">CODE : </w:t>
            </w:r>
            <w:r>
              <w:rPr>
                <w:b/>
                <w:color w:val="000000" w:themeColor="text1"/>
                <w:sz w:val="22"/>
                <w:szCs w:val="22"/>
              </w:rPr>
              <w:t>715103U32D2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CODE DU DOMAINE DE FORMATION : 702</w:t>
            </w:r>
            <w:bookmarkStart w:id="1" w:name="_GoBack"/>
            <w:bookmarkEnd w:id="1"/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/>
    <w:p/>
    <w:p/>
    <w:p/>
    <w:p/>
    <w:p>
      <w:pPr>
        <w:jc w:val="center"/>
        <w:rPr>
          <w:b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</w:p>
    <w:p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  <w:r>
        <w:rPr>
          <w:b/>
          <w:color w:val="00B0F0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APPROCHE MULTICULTURELLE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 LA NEGOCIATION ET DU MARKETING</w:t>
            </w:r>
          </w:p>
          <w:p/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2" w:name="OLE_LINK1"/>
            <w:bookmarkStart w:id="3" w:name="OLE_LINK2"/>
            <w:r>
              <w:rPr>
                <w:b/>
                <w:caps/>
              </w:rPr>
              <w:t>de type court</w:t>
            </w:r>
            <w:bookmarkEnd w:id="2"/>
            <w:bookmarkEnd w:id="3"/>
          </w:p>
          <w:p>
            <w:pPr>
              <w:rPr>
                <w:b/>
                <w:sz w:val="28"/>
              </w:rPr>
            </w:pPr>
          </w:p>
        </w:tc>
      </w:tr>
    </w:tbl>
    <w:p/>
    <w:p/>
    <w:p/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pStyle w:val="Paragraphedeliste"/>
        <w:numPr>
          <w:ilvl w:val="1"/>
          <w:numId w:val="2"/>
        </w:numPr>
        <w:ind w:left="851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sz w:val="22"/>
          <w:szCs w:val="22"/>
        </w:rPr>
      </w:pP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bookmarkStart w:id="4" w:name="FIP"/>
      <w:bookmarkEnd w:id="4"/>
      <w:r>
        <w:rPr>
          <w:sz w:val="22"/>
          <w:szCs w:val="22"/>
        </w:rPr>
        <w:t xml:space="preserve">L'unité d’enseignement vise à permettre à l'étudiant 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d’acquérir </w:t>
      </w:r>
      <w:r>
        <w:rPr>
          <w:sz w:val="22"/>
          <w:szCs w:val="22"/>
          <w:lang w:val="fr-BE"/>
        </w:rPr>
        <w:t>des</w:t>
      </w:r>
      <w:r>
        <w:rPr>
          <w:sz w:val="22"/>
          <w:szCs w:val="22"/>
        </w:rPr>
        <w:t xml:space="preserve"> notions de base théorique et pratique en négociation, anthropologie et psychologie sociale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d’élaborer</w:t>
      </w:r>
      <w:r>
        <w:rPr>
          <w:sz w:val="22"/>
          <w:szCs w:val="22"/>
        </w:rPr>
        <w:t xml:space="preserve"> une stratégie marketing dans un contexte multiculturel ;</w:t>
      </w:r>
    </w:p>
    <w:p>
      <w:pPr>
        <w:numPr>
          <w:ilvl w:val="0"/>
          <w:numId w:val="3"/>
        </w:numPr>
        <w:suppressAutoHyphens w:val="0"/>
        <w:spacing w:after="120"/>
        <w:ind w:left="710" w:hanging="295"/>
        <w:jc w:val="both"/>
        <w:rPr>
          <w:bCs/>
          <w:iCs/>
          <w:sz w:val="22"/>
          <w:szCs w:val="22"/>
        </w:rPr>
      </w:pPr>
      <w:r>
        <w:rPr>
          <w:sz w:val="22"/>
        </w:rPr>
        <w:t xml:space="preserve">d’établir </w:t>
      </w:r>
      <w:r>
        <w:rPr>
          <w:sz w:val="22"/>
          <w:szCs w:val="22"/>
          <w:lang w:val="fr-BE"/>
        </w:rPr>
        <w:t>une</w:t>
      </w:r>
      <w:r>
        <w:rPr>
          <w:sz w:val="22"/>
        </w:rPr>
        <w:t xml:space="preserve"> stratégie de négociation ;</w:t>
      </w:r>
    </w:p>
    <w:p>
      <w:pPr>
        <w:numPr>
          <w:ilvl w:val="0"/>
          <w:numId w:val="3"/>
        </w:numPr>
        <w:suppressAutoHyphens w:val="0"/>
        <w:ind w:left="710" w:hanging="294"/>
        <w:jc w:val="both"/>
        <w:rPr>
          <w:sz w:val="22"/>
          <w:szCs w:val="22"/>
        </w:rPr>
      </w:pPr>
      <w:r>
        <w:rPr>
          <w:sz w:val="22"/>
        </w:rPr>
        <w:t>d’élaborer et de justifier un plan de négociation et son argumentaire.</w:t>
      </w:r>
    </w:p>
    <w:p>
      <w:pPr>
        <w:pStyle w:val="Paragraphedeliste"/>
        <w:rPr>
          <w:sz w:val="22"/>
          <w:szCs w:val="22"/>
        </w:rPr>
      </w:pP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pStyle w:val="Normaltxtdosped"/>
        <w:ind w:left="919" w:right="74"/>
        <w:rPr>
          <w:b/>
          <w:bCs/>
          <w:sz w:val="22"/>
          <w:szCs w:val="22"/>
        </w:rPr>
      </w:pPr>
      <w:bookmarkStart w:id="5" w:name="CPR"/>
      <w:bookmarkEnd w:id="5"/>
    </w:p>
    <w:p>
      <w:pPr>
        <w:pStyle w:val="Normaltxtdosped"/>
        <w:ind w:left="426" w:right="7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Principes de base du marketing</w:t>
      </w:r>
    </w:p>
    <w:p>
      <w:pPr>
        <w:pStyle w:val="Normaltxtdosped"/>
        <w:ind w:left="919" w:right="74"/>
        <w:rPr>
          <w:sz w:val="22"/>
          <w:szCs w:val="22"/>
        </w:rPr>
      </w:pPr>
    </w:p>
    <w:p>
      <w:pPr>
        <w:spacing w:after="120"/>
        <w:ind w:left="426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situations concrètes de la vie professionnelle mettant en œuvre des stratégies marketing différenciées, 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d’identifier</w:t>
      </w:r>
      <w:r>
        <w:rPr>
          <w:sz w:val="22"/>
          <w:szCs w:val="22"/>
        </w:rPr>
        <w:t xml:space="preserve"> les concepts marketing fondamentaux concernés ;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structurer</w:t>
      </w:r>
      <w:r>
        <w:rPr>
          <w:sz w:val="22"/>
          <w:szCs w:val="22"/>
        </w:rPr>
        <w:t xml:space="preserve"> et d’analyser la position concurrentielle de l’organisation ;</w:t>
      </w:r>
    </w:p>
    <w:p>
      <w:pPr>
        <w:numPr>
          <w:ilvl w:val="0"/>
          <w:numId w:val="3"/>
        </w:numPr>
        <w:tabs>
          <w:tab w:val="left" w:pos="1134"/>
        </w:tabs>
        <w:suppressAutoHyphens w:val="0"/>
        <w:spacing w:after="120"/>
        <w:ind w:left="710" w:hanging="2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</w:t>
      </w:r>
      <w:r>
        <w:rPr>
          <w:sz w:val="22"/>
          <w:szCs w:val="22"/>
          <w:lang w:val="fr-BE"/>
        </w:rPr>
        <w:t>déterminer</w:t>
      </w:r>
      <w:r>
        <w:rPr>
          <w:sz w:val="22"/>
          <w:szCs w:val="22"/>
        </w:rPr>
        <w:t xml:space="preserve"> les différentes stratégies de croissance qui s’offrent à l’organisation.</w:t>
      </w:r>
    </w:p>
    <w:p>
      <w:pPr>
        <w:pStyle w:val="Normaltxtdosped"/>
        <w:ind w:left="919" w:right="74"/>
        <w:rPr>
          <w:sz w:val="22"/>
          <w:szCs w:val="22"/>
        </w:rPr>
      </w:pPr>
    </w:p>
    <w:p>
      <w:pPr>
        <w:pStyle w:val="Normaltxtdosped"/>
        <w:ind w:left="426" w:right="7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Notions de géographie économique et humaine</w:t>
      </w:r>
    </w:p>
    <w:p>
      <w:pPr>
        <w:pStyle w:val="Normaltxtdosped"/>
        <w:ind w:left="919" w:right="74"/>
        <w:rPr>
          <w:sz w:val="22"/>
          <w:szCs w:val="22"/>
        </w:rPr>
      </w:pPr>
    </w:p>
    <w:p>
      <w:pPr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Dans le </w:t>
      </w:r>
      <w:r>
        <w:rPr>
          <w:i/>
          <w:iCs/>
          <w:sz w:val="22"/>
          <w:szCs w:val="22"/>
        </w:rPr>
        <w:t>cadre</w:t>
      </w:r>
      <w:r>
        <w:rPr>
          <w:i/>
          <w:sz w:val="22"/>
          <w:szCs w:val="22"/>
        </w:rPr>
        <w:t xml:space="preserve"> d’au moins une situation mettant en jeu les opérations internationales des entreprises, 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référence</w:t>
      </w:r>
      <w:r>
        <w:rPr>
          <w:i/>
          <w:sz w:val="22"/>
          <w:szCs w:val="22"/>
        </w:rPr>
        <w:t xml:space="preserve"> à au moins une région du monde au choix du chargé de cours, </w:t>
      </w:r>
    </w:p>
    <w:p>
      <w:pPr>
        <w:spacing w:after="120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lastRenderedPageBreak/>
        <w:t>des</w:t>
      </w:r>
      <w:proofErr w:type="gramEnd"/>
      <w:r>
        <w:rPr>
          <w:i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documents</w:t>
      </w:r>
      <w:r>
        <w:rPr>
          <w:i/>
          <w:sz w:val="22"/>
          <w:szCs w:val="22"/>
        </w:rPr>
        <w:t xml:space="preserve"> ad hoc étant mis à sa disposition (cartes, statistiques, …) et/ou les ressources numériques étant mises à sa disposition,</w:t>
      </w:r>
    </w:p>
    <w:p>
      <w:pPr>
        <w:numPr>
          <w:ilvl w:val="0"/>
          <w:numId w:val="40"/>
        </w:numPr>
        <w:tabs>
          <w:tab w:val="num" w:pos="72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de situer le ou les pôles d’interaction dans le cadre des principaux flux de commerce international ;</w:t>
      </w:r>
    </w:p>
    <w:p>
      <w:pPr>
        <w:numPr>
          <w:ilvl w:val="0"/>
          <w:numId w:val="40"/>
        </w:numPr>
        <w:tabs>
          <w:tab w:val="num" w:pos="720"/>
        </w:tabs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d’analyser brièvement  la situation économique ;</w:t>
      </w:r>
    </w:p>
    <w:p>
      <w:pPr>
        <w:numPr>
          <w:ilvl w:val="0"/>
          <w:numId w:val="40"/>
        </w:numPr>
        <w:tabs>
          <w:tab w:val="num" w:pos="720"/>
        </w:tabs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d’intégrer les différents paramètres humains et culturels influençant l’échange et de justifier les choix ;</w:t>
      </w:r>
    </w:p>
    <w:p>
      <w:pPr>
        <w:numPr>
          <w:ilvl w:val="0"/>
          <w:numId w:val="40"/>
        </w:numPr>
        <w:tabs>
          <w:tab w:val="num" w:pos="720"/>
        </w:tabs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d’en évaluer les conséquences.</w:t>
      </w:r>
    </w:p>
    <w:p>
      <w:pPr>
        <w:pStyle w:val="Normaltxtdosped"/>
        <w:ind w:left="919" w:right="74"/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num" w:pos="851"/>
        </w:tabs>
        <w:ind w:left="851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Titre pouvant en tenir lieu</w:t>
      </w:r>
    </w:p>
    <w:p>
      <w:pPr>
        <w:pStyle w:val="Paragraphedeliste"/>
        <w:ind w:left="792"/>
        <w:rPr>
          <w:bCs/>
          <w:sz w:val="22"/>
          <w:szCs w:val="22"/>
        </w:rPr>
      </w:pPr>
    </w:p>
    <w:p>
      <w:pPr>
        <w:suppressAutoHyphens w:val="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Principes de base du marketing », </w:t>
      </w:r>
    </w:p>
    <w:p>
      <w:pPr>
        <w:suppressAutoHyphens w:val="0"/>
        <w:spacing w:after="120"/>
        <w:ind w:left="42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code</w:t>
      </w:r>
      <w:proofErr w:type="gramEnd"/>
      <w:r>
        <w:rPr>
          <w:sz w:val="22"/>
          <w:szCs w:val="22"/>
        </w:rPr>
        <w:t xml:space="preserve"> 714104U32D1, classée au niveau de l’enseignement supérieur de type court.</w:t>
      </w:r>
    </w:p>
    <w:p>
      <w:pPr>
        <w:ind w:lef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 Notions de géographie économique et humaine », code </w:t>
      </w:r>
      <w:r>
        <w:rPr>
          <w:bCs/>
          <w:color w:val="000000" w:themeColor="text1"/>
          <w:sz w:val="22"/>
          <w:szCs w:val="22"/>
        </w:rPr>
        <w:t>021433U32D2,</w:t>
      </w:r>
      <w:r>
        <w:rPr>
          <w:sz w:val="22"/>
          <w:szCs w:val="22"/>
        </w:rPr>
        <w:t xml:space="preserve"> classée au niveau de l’enseignement supérieur de type court.</w:t>
      </w:r>
    </w:p>
    <w:p>
      <w:pPr>
        <w:pStyle w:val="Paragraphedeliste"/>
        <w:ind w:left="792"/>
        <w:rPr>
          <w:bCs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ind w:left="360"/>
        <w:jc w:val="both"/>
        <w:rPr>
          <w:b/>
          <w:sz w:val="22"/>
          <w:szCs w:val="22"/>
        </w:rPr>
      </w:pPr>
      <w:bookmarkStart w:id="6" w:name="CAT"/>
      <w:bookmarkEnd w:id="6"/>
      <w:r>
        <w:rPr>
          <w:b/>
          <w:sz w:val="22"/>
          <w:szCs w:val="22"/>
        </w:rPr>
        <w:t xml:space="preserve">Pour atteindre le seuil de réussite, </w:t>
      </w:r>
      <w:r>
        <w:rPr>
          <w:sz w:val="22"/>
          <w:szCs w:val="22"/>
        </w:rPr>
        <w:t>l’étudiant sera capable</w:t>
      </w:r>
      <w:r>
        <w:rPr>
          <w:b/>
          <w:sz w:val="22"/>
          <w:szCs w:val="22"/>
        </w:rPr>
        <w:t xml:space="preserve">, </w:t>
      </w:r>
    </w:p>
    <w:p>
      <w:pPr>
        <w:spacing w:after="120"/>
        <w:ind w:left="405"/>
        <w:jc w:val="both"/>
        <w:rPr>
          <w:bCs/>
          <w:i/>
          <w:iCs/>
          <w:sz w:val="22"/>
          <w:szCs w:val="22"/>
        </w:rPr>
      </w:pPr>
    </w:p>
    <w:p>
      <w:pPr>
        <w:ind w:left="403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à</w:t>
      </w:r>
      <w:proofErr w:type="gramEnd"/>
      <w:r>
        <w:rPr>
          <w:bCs/>
          <w:i/>
          <w:sz w:val="22"/>
          <w:szCs w:val="22"/>
        </w:rPr>
        <w:t xml:space="preserve"> partir d’une situation concrète de la vie professionnelle mettant en jeu des stratégies et des pratiques commerciales sur des marchés-cible dans un contexte multiculturel, </w:t>
      </w:r>
    </w:p>
    <w:p>
      <w:pPr>
        <w:spacing w:after="120"/>
        <w:ind w:left="405"/>
        <w:jc w:val="both"/>
        <w:rPr>
          <w:bCs/>
          <w:i/>
          <w:iCs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en</w:t>
      </w:r>
      <w:proofErr w:type="gramEnd"/>
      <w:r>
        <w:rPr>
          <w:bCs/>
          <w:i/>
          <w:sz w:val="22"/>
          <w:szCs w:val="22"/>
        </w:rPr>
        <w:t xml:space="preserve"> disposant de la documentation ad hoc,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d’élaborer une stratégie marketing multiculturelle adaptée au marché-cible pour un produit/service spécifique ;</w:t>
      </w:r>
    </w:p>
    <w:p>
      <w:pPr>
        <w:suppressAutoHyphens w:val="0"/>
        <w:autoSpaceDE w:val="0"/>
        <w:autoSpaceDN w:val="0"/>
        <w:spacing w:after="120"/>
        <w:ind w:left="360"/>
        <w:jc w:val="both"/>
        <w:rPr>
          <w:sz w:val="22"/>
          <w:szCs w:val="22"/>
          <w:lang w:eastAsia="fr-FR"/>
        </w:rPr>
      </w:pPr>
      <w:proofErr w:type="gramStart"/>
      <w:r>
        <w:rPr>
          <w:i/>
          <w:iCs/>
          <w:sz w:val="22"/>
        </w:rPr>
        <w:t>confronté</w:t>
      </w:r>
      <w:proofErr w:type="gramEnd"/>
      <w:r>
        <w:rPr>
          <w:i/>
          <w:iCs/>
          <w:sz w:val="22"/>
        </w:rPr>
        <w:t xml:space="preserve"> à un cas concret de la vie professionnelle, </w:t>
      </w:r>
      <w:r>
        <w:rPr>
          <w:i/>
          <w:sz w:val="22"/>
          <w:szCs w:val="22"/>
        </w:rPr>
        <w:t>au travers d’une mise en situation de négociation sur un marché-cible,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  <w:lang w:eastAsia="fr-FR"/>
        </w:rPr>
        <w:t>d’établir</w:t>
      </w:r>
      <w:r>
        <w:rPr>
          <w:sz w:val="22"/>
        </w:rPr>
        <w:t xml:space="preserve"> une stratégie de négociation, en justifiant ses choix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  <w:szCs w:val="22"/>
          <w:lang w:eastAsia="fr-FR"/>
        </w:rPr>
        <w:t>d’élaborer</w:t>
      </w:r>
      <w:r>
        <w:rPr>
          <w:sz w:val="22"/>
        </w:rPr>
        <w:t xml:space="preserve"> et de justifier un plan de négociation et son argumentaire, prenant en compte les aspects culturels et psychologiques </w:t>
      </w:r>
      <w:r>
        <w:rPr>
          <w:bCs/>
          <w:iCs/>
          <w:sz w:val="22"/>
          <w:szCs w:val="22"/>
        </w:rPr>
        <w:t xml:space="preserve">; </w:t>
      </w:r>
    </w:p>
    <w:p>
      <w:pPr>
        <w:pStyle w:val="PU1"/>
      </w:pPr>
      <w:r>
        <w:t>de négocier sur base de son argumentaire.</w:t>
      </w:r>
    </w:p>
    <w:p>
      <w:pPr>
        <w:suppressAutoHyphens w:val="0"/>
        <w:autoSpaceDE w:val="0"/>
        <w:autoSpaceDN w:val="0"/>
        <w:ind w:left="641"/>
        <w:jc w:val="both"/>
        <w:rPr>
          <w:sz w:val="22"/>
          <w:szCs w:val="22"/>
          <w:lang w:eastAsia="fr-FR"/>
        </w:rPr>
      </w:pPr>
    </w:p>
    <w:p>
      <w:pPr>
        <w:spacing w:after="120"/>
        <w:ind w:left="405"/>
        <w:rPr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sz w:val="22"/>
          <w:szCs w:val="22"/>
        </w:rPr>
        <w:t>il sera tenu compte des critères suivants :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de précision : la clarté, la concision, la rigueur au niveau de la terminologie, des concepts et </w:t>
      </w:r>
      <w:r>
        <w:rPr>
          <w:bCs/>
          <w:iCs/>
          <w:sz w:val="22"/>
          <w:szCs w:val="22"/>
        </w:rPr>
        <w:t>des</w:t>
      </w:r>
      <w:r>
        <w:rPr>
          <w:sz w:val="22"/>
          <w:szCs w:val="22"/>
          <w:lang w:eastAsia="fr-FR"/>
        </w:rPr>
        <w:t xml:space="preserve"> techniques/principes/modèles,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</w:t>
      </w:r>
      <w:r>
        <w:rPr>
          <w:bCs/>
          <w:iCs/>
          <w:sz w:val="22"/>
          <w:szCs w:val="22"/>
        </w:rPr>
        <w:t>d’intégration</w:t>
      </w:r>
      <w:r>
        <w:rPr>
          <w:sz w:val="22"/>
          <w:szCs w:val="22"/>
          <w:lang w:eastAsia="fr-FR"/>
        </w:rPr>
        <w:t xml:space="preserve">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 xml:space="preserve">niveau d’autonomie : la capacité de faire preuve d’initiatives démontrant une réflexion </w:t>
      </w:r>
      <w:r>
        <w:rPr>
          <w:bCs/>
          <w:iCs/>
          <w:sz w:val="22"/>
          <w:szCs w:val="22"/>
        </w:rPr>
        <w:t>personnelle</w:t>
      </w:r>
      <w:r>
        <w:rPr>
          <w:sz w:val="22"/>
          <w:szCs w:val="22"/>
          <w:lang w:eastAsia="fr-FR"/>
        </w:rPr>
        <w:t xml:space="preserve"> basée sur une exploitation des ressources et des idées en interdépendance avec son environnement.</w:t>
      </w:r>
    </w:p>
    <w:p>
      <w:pPr>
        <w:ind w:left="709"/>
        <w:jc w:val="both"/>
        <w:rPr>
          <w:b/>
          <w:bCs/>
          <w:iCs/>
          <w:sz w:val="22"/>
          <w:szCs w:val="22"/>
        </w:rPr>
      </w:pPr>
    </w:p>
    <w:p>
      <w:pPr>
        <w:suppressAutoHyphens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PROGRAMME</w:t>
      </w:r>
    </w:p>
    <w:p>
      <w:pPr>
        <w:rPr>
          <w:b/>
          <w:sz w:val="22"/>
          <w:szCs w:val="22"/>
        </w:rPr>
      </w:pPr>
    </w:p>
    <w:p>
      <w:pPr>
        <w:ind w:left="36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L’étudiant sera capable :</w:t>
      </w:r>
    </w:p>
    <w:p>
      <w:pPr>
        <w:ind w:left="360"/>
        <w:jc w:val="both"/>
        <w:rPr>
          <w:bCs/>
          <w:i/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430"/>
        </w:tabs>
        <w:suppressAutoHyphens w:val="0"/>
        <w:ind w:left="709" w:hanging="360"/>
        <w:jc w:val="both"/>
        <w:rPr>
          <w:b/>
          <w:sz w:val="22"/>
          <w:szCs w:val="22"/>
          <w:lang w:eastAsia="fr-BE"/>
        </w:rPr>
      </w:pPr>
      <w:r>
        <w:rPr>
          <w:b/>
          <w:sz w:val="22"/>
          <w:szCs w:val="22"/>
          <w:lang w:eastAsia="fr-BE"/>
        </w:rPr>
        <w:t>Techniques de négociation : approches culturelle et psychologique</w:t>
      </w:r>
    </w:p>
    <w:p>
      <w:pPr>
        <w:ind w:left="360"/>
        <w:jc w:val="both"/>
        <w:rPr>
          <w:bCs/>
          <w:iCs/>
          <w:sz w:val="22"/>
          <w:szCs w:val="22"/>
        </w:rPr>
      </w:pPr>
    </w:p>
    <w:p>
      <w:pPr>
        <w:ind w:left="36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à</w:t>
      </w:r>
      <w:proofErr w:type="gramEnd"/>
      <w:r>
        <w:rPr>
          <w:bCs/>
          <w:i/>
          <w:sz w:val="22"/>
          <w:szCs w:val="22"/>
        </w:rPr>
        <w:t xml:space="preserve"> partir de situations concrètes de la vie professionnelle mettant en jeu des stratégies et des pratiques commerciales sur des marchés cibles dans un contexte multiculturel, </w:t>
      </w:r>
    </w:p>
    <w:p>
      <w:pPr>
        <w:ind w:left="36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en</w:t>
      </w:r>
      <w:proofErr w:type="gramEnd"/>
      <w:r>
        <w:rPr>
          <w:bCs/>
          <w:i/>
          <w:sz w:val="22"/>
          <w:szCs w:val="22"/>
        </w:rPr>
        <w:t xml:space="preserve"> disposant de la documentation ad hoc,</w:t>
      </w:r>
    </w:p>
    <w:p>
      <w:pPr>
        <w:ind w:left="360"/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de caractériser des processus de négociation commerciale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</w:rPr>
        <w:t>de relever et de caractériser les éléments clés de la différenciation culturelle en négociation commerciale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  <w:lang w:val="fr-BE" w:eastAsia="fr-BE"/>
        </w:rPr>
      </w:pPr>
      <w:r>
        <w:rPr>
          <w:sz w:val="22"/>
          <w:szCs w:val="22"/>
        </w:rPr>
        <w:t xml:space="preserve">d’analyser les principales </w:t>
      </w:r>
      <w:r>
        <w:rPr>
          <w:bCs/>
          <w:iCs/>
          <w:sz w:val="22"/>
          <w:szCs w:val="22"/>
        </w:rPr>
        <w:t>bases</w:t>
      </w:r>
      <w:r>
        <w:rPr>
          <w:sz w:val="22"/>
          <w:szCs w:val="22"/>
        </w:rPr>
        <w:t xml:space="preserve"> théoriques de l’anthropologie sociale (</w:t>
      </w:r>
      <w:proofErr w:type="spellStart"/>
      <w:r>
        <w:rPr>
          <w:sz w:val="22"/>
          <w:szCs w:val="22"/>
        </w:rPr>
        <w:t>Levi-Strauss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Godelier</w:t>
      </w:r>
      <w:proofErr w:type="spellEnd"/>
      <w:r>
        <w:rPr>
          <w:sz w:val="22"/>
          <w:szCs w:val="22"/>
        </w:rPr>
        <w:t>, Mauss, …)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d’établir des liens entre l’anthropologie et la négociation à l’international (acculturation, notions de culture, les éléments de perception culturelle de la négociation, quelques grandes sphères culturelles, modèles de Meyer, …)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sz w:val="22"/>
          <w:szCs w:val="22"/>
        </w:rPr>
        <w:t xml:space="preserve">d’analyser les principales </w:t>
      </w:r>
      <w:r>
        <w:rPr>
          <w:bCs/>
          <w:iCs/>
          <w:sz w:val="22"/>
          <w:szCs w:val="22"/>
        </w:rPr>
        <w:t>bases</w:t>
      </w:r>
      <w:r>
        <w:rPr>
          <w:sz w:val="22"/>
          <w:szCs w:val="22"/>
        </w:rPr>
        <w:t xml:space="preserve"> théoriques de la psychologie </w:t>
      </w:r>
      <w:r>
        <w:rPr>
          <w:color w:val="000000"/>
          <w:sz w:val="22"/>
          <w:szCs w:val="22"/>
        </w:rPr>
        <w:t>sociale (Milgram, …)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d’établir des liens entre la psychologie et la négociation (motivation profonde, </w:t>
      </w:r>
      <w:r>
        <w:rPr>
          <w:bCs/>
          <w:iCs/>
          <w:sz w:val="22"/>
          <w:szCs w:val="22"/>
        </w:rPr>
        <w:t>importance</w:t>
      </w:r>
      <w:r>
        <w:rPr>
          <w:color w:val="000000"/>
          <w:sz w:val="22"/>
          <w:szCs w:val="22"/>
        </w:rPr>
        <w:t xml:space="preserve"> de la psychologie sociale, comportement des individus amenés à prendre en compte leurs divergences, MBTI [</w:t>
      </w:r>
      <w:r>
        <w:rPr>
          <w:color w:val="000000" w:themeColor="text1"/>
          <w:sz w:val="22"/>
          <w:szCs w:val="22"/>
          <w:shd w:val="clear" w:color="auto" w:fill="FFFFFF"/>
        </w:rPr>
        <w:t>Myers Briggs Type Indicator</w:t>
      </w:r>
      <w:r>
        <w:rPr>
          <w:color w:val="000000"/>
          <w:sz w:val="22"/>
          <w:szCs w:val="22"/>
        </w:rPr>
        <w:t>], …).</w:t>
      </w:r>
    </w:p>
    <w:p>
      <w:pPr>
        <w:suppressAutoHyphens w:val="0"/>
        <w:autoSpaceDE w:val="0"/>
        <w:autoSpaceDN w:val="0"/>
        <w:ind w:left="641"/>
        <w:jc w:val="both"/>
        <w:rPr>
          <w:color w:val="000000"/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430"/>
        </w:tabs>
        <w:suppressAutoHyphens w:val="0"/>
        <w:ind w:left="709" w:hanging="360"/>
        <w:jc w:val="both"/>
        <w:rPr>
          <w:b/>
          <w:sz w:val="22"/>
          <w:szCs w:val="22"/>
          <w:lang w:eastAsia="fr-BE"/>
        </w:rPr>
      </w:pPr>
      <w:r>
        <w:rPr>
          <w:b/>
          <w:sz w:val="22"/>
          <w:szCs w:val="22"/>
          <w:lang w:eastAsia="fr-BE"/>
        </w:rPr>
        <w:t>Cross Cultural Marketing</w:t>
      </w:r>
    </w:p>
    <w:p>
      <w:pPr>
        <w:suppressAutoHyphens w:val="0"/>
        <w:autoSpaceDE w:val="0"/>
        <w:autoSpaceDN w:val="0"/>
        <w:jc w:val="both"/>
        <w:rPr>
          <w:b/>
          <w:sz w:val="22"/>
          <w:szCs w:val="22"/>
          <w:lang w:eastAsia="fr-BE"/>
        </w:rPr>
      </w:pPr>
    </w:p>
    <w:p>
      <w:pPr>
        <w:ind w:left="36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à</w:t>
      </w:r>
      <w:proofErr w:type="gramEnd"/>
      <w:r>
        <w:rPr>
          <w:bCs/>
          <w:i/>
          <w:sz w:val="22"/>
          <w:szCs w:val="22"/>
        </w:rPr>
        <w:t xml:space="preserve"> partir de situations concrètes de la vie professionnelle mettant en jeu des stratégies et des pratiques commerciales sur des marchés-cible dans un contexte multiculturel, </w:t>
      </w:r>
    </w:p>
    <w:p>
      <w:pPr>
        <w:ind w:left="360"/>
        <w:jc w:val="both"/>
        <w:rPr>
          <w:bCs/>
          <w:i/>
          <w:sz w:val="22"/>
          <w:szCs w:val="22"/>
        </w:rPr>
      </w:pPr>
      <w:proofErr w:type="gramStart"/>
      <w:r>
        <w:rPr>
          <w:bCs/>
          <w:i/>
          <w:sz w:val="22"/>
          <w:szCs w:val="22"/>
        </w:rPr>
        <w:t>en</w:t>
      </w:r>
      <w:proofErr w:type="gramEnd"/>
      <w:r>
        <w:rPr>
          <w:bCs/>
          <w:i/>
          <w:sz w:val="22"/>
          <w:szCs w:val="22"/>
        </w:rPr>
        <w:t xml:space="preserve"> disposant de la documentation ad hoc, </w:t>
      </w:r>
    </w:p>
    <w:p>
      <w:pPr>
        <w:suppressAutoHyphens w:val="0"/>
        <w:autoSpaceDE w:val="0"/>
        <w:autoSpaceDN w:val="0"/>
        <w:jc w:val="both"/>
        <w:rPr>
          <w:b/>
          <w:sz w:val="22"/>
          <w:szCs w:val="22"/>
          <w:lang w:eastAsia="fr-BE"/>
        </w:rPr>
      </w:pP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identifier et expliciter les principes d’une stratégie marketing interculturelle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d’établir des croisements de données afin de disposer d’une vue réaliste du marché-cible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sz w:val="22"/>
          <w:szCs w:val="22"/>
        </w:rPr>
      </w:pPr>
      <w:r>
        <w:rPr>
          <w:sz w:val="22"/>
          <w:szCs w:val="22"/>
        </w:rPr>
        <w:t>d’analyser, en utilisant la technique du Benchmarking, des pratiques de plusieurs secteurs (offre produits/services et communication)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1"/>
        <w:jc w:val="both"/>
        <w:rPr>
          <w:sz w:val="22"/>
          <w:szCs w:val="22"/>
        </w:rPr>
      </w:pPr>
      <w:r>
        <w:rPr>
          <w:sz w:val="22"/>
          <w:szCs w:val="22"/>
        </w:rPr>
        <w:t>d’élaborer une stratégie marketing et un plan de communication pour le marché-cible.</w:t>
      </w:r>
    </w:p>
    <w:p>
      <w:pPr>
        <w:suppressAutoHyphens w:val="0"/>
        <w:autoSpaceDE w:val="0"/>
        <w:autoSpaceDN w:val="0"/>
        <w:ind w:left="641"/>
        <w:jc w:val="both"/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clear" w:pos="1430"/>
        </w:tabs>
        <w:suppressAutoHyphens w:val="0"/>
        <w:ind w:left="709" w:hanging="360"/>
        <w:jc w:val="both"/>
        <w:rPr>
          <w:bCs/>
          <w:iCs/>
          <w:sz w:val="22"/>
          <w:szCs w:val="22"/>
        </w:rPr>
      </w:pPr>
      <w:r>
        <w:rPr>
          <w:b/>
          <w:sz w:val="22"/>
          <w:szCs w:val="22"/>
          <w:lang w:eastAsia="fr-BE"/>
        </w:rPr>
        <w:t>Laboratoire de techniques de négociation à l’international</w:t>
      </w:r>
    </w:p>
    <w:p>
      <w:pPr>
        <w:suppressAutoHyphens w:val="0"/>
        <w:autoSpaceDE w:val="0"/>
        <w:autoSpaceDN w:val="0"/>
        <w:jc w:val="both"/>
        <w:rPr>
          <w:bCs/>
          <w:i/>
          <w:iCs/>
          <w:sz w:val="22"/>
          <w:szCs w:val="22"/>
          <w:lang w:eastAsia="fr-BE"/>
        </w:rPr>
      </w:pPr>
    </w:p>
    <w:p>
      <w:pPr>
        <w:suppressAutoHyphens w:val="0"/>
        <w:autoSpaceDE w:val="0"/>
        <w:autoSpaceDN w:val="0"/>
        <w:ind w:left="349"/>
        <w:jc w:val="both"/>
        <w:rPr>
          <w:bCs/>
          <w:i/>
          <w:iCs/>
          <w:sz w:val="22"/>
          <w:szCs w:val="22"/>
          <w:lang w:eastAsia="fr-BE"/>
        </w:rPr>
      </w:pPr>
      <w:proofErr w:type="gramStart"/>
      <w:r>
        <w:rPr>
          <w:i/>
          <w:iCs/>
          <w:sz w:val="22"/>
        </w:rPr>
        <w:t>confronté</w:t>
      </w:r>
      <w:proofErr w:type="gramEnd"/>
      <w:r>
        <w:rPr>
          <w:i/>
          <w:iCs/>
          <w:sz w:val="22"/>
        </w:rPr>
        <w:t xml:space="preserve"> à des cas concrets de la vie professionnelle, </w:t>
      </w:r>
      <w:r>
        <w:rPr>
          <w:i/>
          <w:sz w:val="22"/>
          <w:szCs w:val="22"/>
        </w:rPr>
        <w:t>au travers de mises en situation de négociation sur des marchés-cible,</w:t>
      </w:r>
    </w:p>
    <w:p>
      <w:pPr>
        <w:suppressAutoHyphens w:val="0"/>
        <w:autoSpaceDE w:val="0"/>
        <w:autoSpaceDN w:val="0"/>
        <w:jc w:val="both"/>
        <w:rPr>
          <w:bCs/>
          <w:i/>
          <w:iCs/>
          <w:sz w:val="22"/>
          <w:szCs w:val="22"/>
          <w:lang w:eastAsia="fr-BE"/>
        </w:rPr>
      </w:pPr>
    </w:p>
    <w:p>
      <w:pPr>
        <w:pStyle w:val="PU1"/>
      </w:pPr>
      <w:r>
        <w:t>d’analyser les étapes d’une négociation commerciale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</w:rPr>
        <w:t>d’établir une stratégie de négociation, en justifiant ses choix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</w:rPr>
        <w:t>d’élaborer et de justifier un plan de négociation et son argumentaire, prenant en compte les aspects anthropologiques et psychologiques </w:t>
      </w:r>
      <w:r>
        <w:rPr>
          <w:bCs/>
          <w:iCs/>
          <w:sz w:val="22"/>
          <w:szCs w:val="22"/>
        </w:rPr>
        <w:t xml:space="preserve">; 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</w:rPr>
        <w:t xml:space="preserve">de négocier sur base de son argumentaire ; 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spacing w:after="120"/>
        <w:ind w:left="643"/>
        <w:jc w:val="both"/>
        <w:rPr>
          <w:bCs/>
          <w:iCs/>
          <w:sz w:val="22"/>
          <w:szCs w:val="22"/>
        </w:rPr>
      </w:pPr>
      <w:r>
        <w:rPr>
          <w:sz w:val="22"/>
        </w:rPr>
        <w:t>établir une relation gagnant-gagnant ;</w:t>
      </w:r>
    </w:p>
    <w:p>
      <w:pPr>
        <w:numPr>
          <w:ilvl w:val="0"/>
          <w:numId w:val="32"/>
        </w:numPr>
        <w:tabs>
          <w:tab w:val="num" w:pos="643"/>
        </w:tabs>
        <w:suppressAutoHyphens w:val="0"/>
        <w:autoSpaceDE w:val="0"/>
        <w:autoSpaceDN w:val="0"/>
        <w:ind w:left="643"/>
        <w:jc w:val="both"/>
        <w:rPr>
          <w:bCs/>
          <w:iCs/>
          <w:sz w:val="22"/>
          <w:szCs w:val="22"/>
        </w:rPr>
      </w:pPr>
      <w:r>
        <w:rPr>
          <w:color w:val="000000"/>
          <w:sz w:val="22"/>
          <w:szCs w:val="22"/>
        </w:rPr>
        <w:t>d’adopter</w:t>
      </w:r>
      <w:r>
        <w:rPr>
          <w:bCs/>
          <w:iCs/>
          <w:sz w:val="22"/>
          <w:szCs w:val="22"/>
        </w:rPr>
        <w:t xml:space="preserve"> une posture critique par rapport à la négociation menée.</w:t>
      </w:r>
    </w:p>
    <w:p>
      <w:pPr>
        <w:ind w:left="284"/>
        <w:jc w:val="both"/>
        <w:rPr>
          <w:bCs/>
          <w:iCs/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jc w:val="left"/>
        <w:rPr>
          <w:rFonts w:ascii="Times New Roman" w:hAnsi="Times New Roman"/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ind w:left="425"/>
        <w:jc w:val="both"/>
        <w:rPr>
          <w:sz w:val="22"/>
          <w:szCs w:val="22"/>
        </w:rPr>
      </w:pPr>
    </w:p>
    <w:p>
      <w:pPr>
        <w:ind w:left="425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Cs/>
          <w:sz w:val="22"/>
          <w:szCs w:val="22"/>
        </w:rPr>
      </w:pPr>
    </w:p>
    <w:p>
      <w:pPr>
        <w:spacing w:before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cours de « </w:t>
      </w:r>
      <w:r>
        <w:rPr>
          <w:color w:val="000000"/>
          <w:sz w:val="22"/>
          <w:szCs w:val="22"/>
        </w:rPr>
        <w:t>Laboratoire de techniques de négociation à l’international</w:t>
      </w:r>
      <w:r>
        <w:rPr>
          <w:sz w:val="22"/>
          <w:szCs w:val="22"/>
        </w:rPr>
        <w:t xml:space="preserve"> », il est recommandé de ne pas dépasser 20 étudiants.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D’ENSEIGNEMENT</w:t>
      </w:r>
    </w:p>
    <w:p>
      <w:pPr>
        <w:ind w:left="708" w:hanging="708"/>
        <w:rPr>
          <w:sz w:val="22"/>
        </w:rPr>
      </w:pPr>
    </w:p>
    <w:tbl>
      <w:tblPr>
        <w:tblW w:w="8829" w:type="dxa"/>
        <w:tblInd w:w="2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90"/>
        <w:gridCol w:w="1440"/>
        <w:gridCol w:w="1276"/>
        <w:gridCol w:w="1523"/>
      </w:tblGrid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 des cours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itre3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iCs/>
                <w:sz w:val="22"/>
                <w:szCs w:val="22"/>
              </w:rPr>
            </w:pPr>
            <w:bookmarkStart w:id="7" w:name="VOL"/>
            <w:bookmarkEnd w:id="7"/>
            <w:r>
              <w:rPr>
                <w:sz w:val="22"/>
                <w:szCs w:val="22"/>
              </w:rPr>
              <w:t>Techniques de négociation : approches culturelle et psychologique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Cross Cultural Marketing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Laboratoire de techniques de négociation à l’international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 Part d’autonomie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2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snapToGrid w:val="0"/>
              <w:ind w:right="4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c>
          <w:tcPr>
            <w:tcW w:w="45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snapToGrid w:val="0"/>
              <w:ind w:right="46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>
      <w:pPr>
        <w:snapToGrid w:val="0"/>
        <w:rPr>
          <w:b/>
          <w:sz w:val="22"/>
          <w:szCs w:val="22"/>
        </w:rPr>
      </w:pPr>
    </w:p>
    <w:sectPr>
      <w:footerReference w:type="default" r:id="rId8"/>
      <w:footnotePr>
        <w:pos w:val="beneathText"/>
      </w:footnotePr>
      <w:type w:val="continuous"/>
      <w:pgSz w:w="11905" w:h="16837"/>
      <w:pgMar w:top="1417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1F497D" w:themeColor="text2"/>
      </w:rPr>
      <w:id w:val="1695354465"/>
      <w:docPartObj>
        <w:docPartGallery w:val="Page Numbers (Bottom of Page)"/>
        <w:docPartUnique/>
      </w:docPartObj>
    </w:sdtPr>
    <w:sdtContent>
      <w:sdt>
        <w:sdtPr>
          <w:rPr>
            <w:color w:val="1F497D" w:themeColor="text2"/>
          </w:rPr>
          <w:id w:val="-170523852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rPr>
                <w:color w:val="1F497D" w:themeColor="text2"/>
              </w:rPr>
            </w:pPr>
            <w:r>
              <w:rPr>
                <w:color w:val="1F497D" w:themeColor="text2"/>
              </w:rPr>
              <w:t>Bachelier en International Business : UE Approche multiculturelle de la négociation et du marketing</w:t>
            </w:r>
            <w:r>
              <w:rPr>
                <w:color w:val="1F497D" w:themeColor="text2"/>
              </w:rPr>
              <w:tab/>
            </w:r>
            <w:r>
              <w:rPr>
                <w:color w:val="1F497D" w:themeColor="text2"/>
                <w:sz w:val="18"/>
                <w:szCs w:val="18"/>
              </w:rPr>
              <w:t>Page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PAGE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5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  <w:r>
              <w:rPr>
                <w:color w:val="1F497D" w:themeColor="text2"/>
              </w:rPr>
              <w:t xml:space="preserve"> sur 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begin"/>
            </w:r>
            <w:r>
              <w:rPr>
                <w:b/>
                <w:bCs/>
                <w:color w:val="1F497D" w:themeColor="text2"/>
              </w:rPr>
              <w:instrText>NUMPAGES</w:instrTex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color w:val="1F497D" w:themeColor="text2"/>
              </w:rPr>
              <w:t>5</w:t>
            </w:r>
            <w:r>
              <w:rPr>
                <w:b/>
                <w:bCs/>
                <w:color w:val="1F497D" w:themeColor="text2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64CA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B4D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210AA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584EB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9E6C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1A91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9E9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E80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EA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CF8A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13" w15:restartNumberingAfterBreak="0">
    <w:nsid w:val="00000012"/>
    <w:multiLevelType w:val="singleLevel"/>
    <w:tmpl w:val="00000012"/>
    <w:lvl w:ilvl="0">
      <w:start w:val="1"/>
      <w:numFmt w:val="bullet"/>
      <w:lvlText w:val=""/>
      <w:lvlJc w:val="left"/>
      <w:pPr>
        <w:tabs>
          <w:tab w:val="num" w:pos="1408"/>
        </w:tabs>
        <w:ind w:left="1408" w:hanging="340"/>
      </w:pPr>
      <w:rPr>
        <w:rFonts w:ascii="Symbol" w:hAnsi="Symbol"/>
        <w:sz w:val="22"/>
        <w:szCs w:val="20"/>
      </w:rPr>
    </w:lvl>
  </w:abstractNum>
  <w:abstractNum w:abstractNumId="14" w15:restartNumberingAfterBreak="0">
    <w:nsid w:val="06F1767D"/>
    <w:multiLevelType w:val="hybridMultilevel"/>
    <w:tmpl w:val="E090979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075D1C43"/>
    <w:multiLevelType w:val="multilevel"/>
    <w:tmpl w:val="EC3A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2C2278"/>
    <w:multiLevelType w:val="hybridMultilevel"/>
    <w:tmpl w:val="2004B4D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7" w15:restartNumberingAfterBreak="0">
    <w:nsid w:val="22717901"/>
    <w:multiLevelType w:val="hybridMultilevel"/>
    <w:tmpl w:val="F5709554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23EC3D39"/>
    <w:multiLevelType w:val="multilevel"/>
    <w:tmpl w:val="EC669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142" w:hanging="432"/>
      </w:pPr>
      <w:rPr>
        <w:rFonts w:cs="Times New Roman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BF4762E"/>
    <w:multiLevelType w:val="hybridMultilevel"/>
    <w:tmpl w:val="DAA8F23C"/>
    <w:lvl w:ilvl="0" w:tplc="FFFFFFFF">
      <w:numFmt w:val="bullet"/>
      <w:lvlText w:val="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91"/>
        </w:tabs>
        <w:ind w:left="15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11"/>
        </w:tabs>
        <w:ind w:left="23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0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5065DAB"/>
    <w:multiLevelType w:val="hybridMultilevel"/>
    <w:tmpl w:val="67E4EE3E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65"/>
        </w:tabs>
        <w:ind w:left="236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5"/>
        </w:tabs>
        <w:ind w:left="3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805"/>
        </w:tabs>
        <w:ind w:left="38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25"/>
        </w:tabs>
        <w:ind w:left="452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45"/>
        </w:tabs>
        <w:ind w:left="52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65"/>
        </w:tabs>
        <w:ind w:left="59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85"/>
        </w:tabs>
        <w:ind w:left="668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405"/>
        </w:tabs>
        <w:ind w:left="7405" w:hanging="360"/>
      </w:pPr>
      <w:rPr>
        <w:rFonts w:ascii="Wingdings" w:hAnsi="Wingdings" w:hint="default"/>
      </w:rPr>
    </w:lvl>
  </w:abstractNum>
  <w:abstractNum w:abstractNumId="22" w15:restartNumberingAfterBreak="0">
    <w:nsid w:val="36E81C10"/>
    <w:multiLevelType w:val="hybridMultilevel"/>
    <w:tmpl w:val="832C8D62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43155F"/>
    <w:multiLevelType w:val="hybridMultilevel"/>
    <w:tmpl w:val="3F527D3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3"/>
        </w:tabs>
        <w:ind w:left="361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333"/>
        </w:tabs>
        <w:ind w:left="433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053"/>
        </w:tabs>
        <w:ind w:left="505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773"/>
        </w:tabs>
        <w:ind w:left="577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493"/>
        </w:tabs>
        <w:ind w:left="649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213"/>
        </w:tabs>
        <w:ind w:left="721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933"/>
        </w:tabs>
        <w:ind w:left="793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653"/>
        </w:tabs>
        <w:ind w:left="8653" w:hanging="360"/>
      </w:pPr>
      <w:rPr>
        <w:rFonts w:ascii="Wingdings" w:hAnsi="Wingdings" w:hint="default"/>
      </w:rPr>
    </w:lvl>
  </w:abstractNum>
  <w:abstractNum w:abstractNumId="24" w15:restartNumberingAfterBreak="0">
    <w:nsid w:val="3BC5317D"/>
    <w:multiLevelType w:val="hybridMultilevel"/>
    <w:tmpl w:val="6BF2B31E"/>
    <w:lvl w:ilvl="0" w:tplc="080C0003">
      <w:start w:val="1"/>
      <w:numFmt w:val="bullet"/>
      <w:lvlText w:val="o"/>
      <w:lvlJc w:val="left"/>
      <w:pPr>
        <w:ind w:left="1275" w:hanging="283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3D011282"/>
    <w:multiLevelType w:val="hybridMultilevel"/>
    <w:tmpl w:val="710C5E8E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3D7D2ACF"/>
    <w:multiLevelType w:val="hybridMultilevel"/>
    <w:tmpl w:val="D9366F56"/>
    <w:lvl w:ilvl="0" w:tplc="FFFFFFFF">
      <w:numFmt w:val="bullet"/>
      <w:lvlText w:val=""/>
      <w:legacy w:legacy="1" w:legacySpace="0" w:legacyIndent="283"/>
      <w:lvlJc w:val="left"/>
      <w:pPr>
        <w:ind w:left="156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3072C54"/>
    <w:multiLevelType w:val="singleLevel"/>
    <w:tmpl w:val="8CAAE586"/>
    <w:lvl w:ilvl="0">
      <w:numFmt w:val="bullet"/>
      <w:pStyle w:val="PU1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</w:abstractNum>
  <w:abstractNum w:abstractNumId="28" w15:restartNumberingAfterBreak="0">
    <w:nsid w:val="435B3C7D"/>
    <w:multiLevelType w:val="hybridMultilevel"/>
    <w:tmpl w:val="8AB8609E"/>
    <w:lvl w:ilvl="0" w:tplc="FFFFFFFF">
      <w:numFmt w:val="bullet"/>
      <w:lvlText w:val=""/>
      <w:legacy w:legacy="1" w:legacySpace="0" w:legacyIndent="283"/>
      <w:lvlJc w:val="left"/>
      <w:pPr>
        <w:ind w:left="4580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886"/>
        </w:tabs>
        <w:ind w:left="488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606"/>
        </w:tabs>
        <w:ind w:left="560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6326"/>
        </w:tabs>
        <w:ind w:left="632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7046"/>
        </w:tabs>
        <w:ind w:left="704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766"/>
        </w:tabs>
        <w:ind w:left="776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8486"/>
        </w:tabs>
        <w:ind w:left="848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9206"/>
        </w:tabs>
        <w:ind w:left="920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926"/>
        </w:tabs>
        <w:ind w:left="9926" w:hanging="360"/>
      </w:pPr>
      <w:rPr>
        <w:rFonts w:ascii="Wingdings" w:hAnsi="Wingdings" w:hint="default"/>
      </w:rPr>
    </w:lvl>
  </w:abstractNum>
  <w:abstractNum w:abstractNumId="29" w15:restartNumberingAfterBreak="0">
    <w:nsid w:val="45185FE6"/>
    <w:multiLevelType w:val="hybridMultilevel"/>
    <w:tmpl w:val="ABE2AA8E"/>
    <w:lvl w:ilvl="0" w:tplc="FFFFFFFF">
      <w:numFmt w:val="bullet"/>
      <w:lvlText w:val=""/>
      <w:legacy w:legacy="1" w:legacySpace="0" w:legacyIndent="283"/>
      <w:lvlJc w:val="left"/>
      <w:pPr>
        <w:ind w:left="1275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80C0003">
      <w:start w:val="1"/>
      <w:numFmt w:val="bullet"/>
      <w:lvlText w:val="o"/>
      <w:lvlJc w:val="left"/>
      <w:pPr>
        <w:tabs>
          <w:tab w:val="num" w:pos="3021"/>
        </w:tabs>
        <w:ind w:left="3021" w:hanging="360"/>
      </w:pPr>
      <w:rPr>
        <w:rFonts w:ascii="Courier New" w:hAnsi="Courier New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30" w15:restartNumberingAfterBreak="0">
    <w:nsid w:val="4B3327DC"/>
    <w:multiLevelType w:val="hybridMultilevel"/>
    <w:tmpl w:val="B26684C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82"/>
        </w:tabs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02"/>
        </w:tabs>
        <w:ind w:left="28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22"/>
        </w:tabs>
        <w:ind w:left="35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242"/>
        </w:tabs>
        <w:ind w:left="4242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962"/>
        </w:tabs>
        <w:ind w:left="49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82"/>
        </w:tabs>
        <w:ind w:left="56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02"/>
        </w:tabs>
        <w:ind w:left="640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22"/>
        </w:tabs>
        <w:ind w:left="7122" w:hanging="360"/>
      </w:pPr>
      <w:rPr>
        <w:rFonts w:ascii="Wingdings" w:hAnsi="Wingdings" w:hint="default"/>
      </w:rPr>
    </w:lvl>
  </w:abstractNum>
  <w:abstractNum w:abstractNumId="31" w15:restartNumberingAfterBreak="0">
    <w:nsid w:val="4E640F9D"/>
    <w:multiLevelType w:val="hybridMultilevel"/>
    <w:tmpl w:val="3F4237CE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CE6061"/>
    <w:multiLevelType w:val="multilevel"/>
    <w:tmpl w:val="7FE01B5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7"/>
        </w:tabs>
        <w:ind w:left="79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</w:rPr>
    </w:lvl>
  </w:abstractNum>
  <w:abstractNum w:abstractNumId="33" w15:restartNumberingAfterBreak="0">
    <w:nsid w:val="59F01BE4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56818BC"/>
    <w:multiLevelType w:val="multilevel"/>
    <w:tmpl w:val="2276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3F0B65"/>
    <w:multiLevelType w:val="hybridMultilevel"/>
    <w:tmpl w:val="3C94779C"/>
    <w:lvl w:ilvl="0" w:tplc="FFFFFFFF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F3F0C"/>
    <w:multiLevelType w:val="hybridMultilevel"/>
    <w:tmpl w:val="C8223ED6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1B4552E"/>
    <w:multiLevelType w:val="hybridMultilevel"/>
    <w:tmpl w:val="87E60A6A"/>
    <w:lvl w:ilvl="0" w:tplc="FFFFFFFF">
      <w:numFmt w:val="bullet"/>
      <w:lvlText w:val=""/>
      <w:legacy w:legacy="1" w:legacySpace="360" w:legacyIndent="283"/>
      <w:lvlJc w:val="left"/>
      <w:pPr>
        <w:ind w:left="1134" w:hanging="283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 w15:restartNumberingAfterBreak="0">
    <w:nsid w:val="7EC35286"/>
    <w:multiLevelType w:val="multilevel"/>
    <w:tmpl w:val="8AB8609E"/>
    <w:lvl w:ilvl="0">
      <w:numFmt w:val="bullet"/>
      <w:lvlText w:val="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20"/>
  </w:num>
  <w:num w:numId="4">
    <w:abstractNumId w:val="10"/>
    <w:lvlOverride w:ilvl="0">
      <w:lvl w:ilvl="0">
        <w:numFmt w:val="bullet"/>
        <w:lvlText w:val=""/>
        <w:legacy w:legacy="1" w:legacySpace="0" w:legacyIndent="283"/>
        <w:lvlJc w:val="left"/>
        <w:pPr>
          <w:ind w:left="1183" w:hanging="283"/>
        </w:pPr>
        <w:rPr>
          <w:rFonts w:ascii="Symbol" w:hAnsi="Symbol" w:hint="default"/>
        </w:rPr>
      </w:lvl>
    </w:lvlOverride>
  </w:num>
  <w:num w:numId="5">
    <w:abstractNumId w:val="19"/>
  </w:num>
  <w:num w:numId="6">
    <w:abstractNumId w:val="25"/>
  </w:num>
  <w:num w:numId="7">
    <w:abstractNumId w:val="37"/>
  </w:num>
  <w:num w:numId="8">
    <w:abstractNumId w:val="23"/>
  </w:num>
  <w:num w:numId="9">
    <w:abstractNumId w:val="26"/>
  </w:num>
  <w:num w:numId="10">
    <w:abstractNumId w:val="16"/>
  </w:num>
  <w:num w:numId="11">
    <w:abstractNumId w:val="28"/>
  </w:num>
  <w:num w:numId="12">
    <w:abstractNumId w:val="35"/>
  </w:num>
  <w:num w:numId="13">
    <w:abstractNumId w:val="31"/>
  </w:num>
  <w:num w:numId="14">
    <w:abstractNumId w:val="17"/>
  </w:num>
  <w:num w:numId="15">
    <w:abstractNumId w:val="36"/>
  </w:num>
  <w:num w:numId="16">
    <w:abstractNumId w:val="30"/>
  </w:num>
  <w:num w:numId="17">
    <w:abstractNumId w:val="32"/>
  </w:num>
  <w:num w:numId="18">
    <w:abstractNumId w:val="22"/>
  </w:num>
  <w:num w:numId="19">
    <w:abstractNumId w:val="38"/>
  </w:num>
  <w:num w:numId="20">
    <w:abstractNumId w:val="21"/>
  </w:num>
  <w:num w:numId="21">
    <w:abstractNumId w:val="12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27"/>
  </w:num>
  <w:num w:numId="33">
    <w:abstractNumId w:val="29"/>
  </w:num>
  <w:num w:numId="34">
    <w:abstractNumId w:val="24"/>
  </w:num>
  <w:num w:numId="35">
    <w:abstractNumId w:val="34"/>
  </w:num>
  <w:num w:numId="36">
    <w:abstractNumId w:val="15"/>
  </w:num>
  <w:num w:numId="37">
    <w:abstractNumId w:val="13"/>
  </w:num>
  <w:num w:numId="38">
    <w:abstractNumId w:val="14"/>
  </w:num>
  <w:num w:numId="39">
    <w:abstractNumId w:val="1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70" w:hanging="360"/>
        </w:pPr>
        <w:rPr>
          <w:rFonts w:ascii="Symbol" w:hAnsi="Symbol" w:hint="default"/>
        </w:rPr>
      </w:lvl>
    </w:lvlOverride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4E507A3-8B51-47CD-97A7-3AFC20024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ascii="Calibri" w:hAnsi="Calibri"/>
      <w:b/>
      <w:sz w:val="22"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/>
      <w:b/>
      <w:color w:val="auto"/>
      <w:spacing w:val="0"/>
      <w:kern w:val="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link w:val="Titre2"/>
    <w:uiPriority w:val="99"/>
    <w:locked/>
    <w:rPr>
      <w:rFonts w:eastAsia="Times New Roman" w:cs="Times New Roman"/>
      <w:b/>
      <w:sz w:val="22"/>
      <w:lang w:val="fr-FR" w:eastAsia="ar-SA" w:bidi="ar-SA"/>
    </w:rPr>
  </w:style>
  <w:style w:type="character" w:customStyle="1" w:styleId="Titre3Car">
    <w:name w:val="Titre 3 Car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21"/>
      </w:numPr>
      <w:spacing w:line="240" w:lineRule="atLeast"/>
    </w:pPr>
    <w:rPr>
      <w:rFonts w:eastAsia="Calibri"/>
      <w:sz w:val="22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styleId="Normalcentr">
    <w:name w:val="Block Text"/>
    <w:basedOn w:val="Normal"/>
    <w:uiPriority w:val="99"/>
    <w:pPr>
      <w:spacing w:after="120"/>
      <w:ind w:left="1440" w:right="1440"/>
    </w:pPr>
  </w:style>
  <w:style w:type="paragraph" w:customStyle="1" w:styleId="PU1">
    <w:name w:val="PU1"/>
    <w:basedOn w:val="Normal"/>
    <w:autoRedefine/>
    <w:uiPriority w:val="99"/>
    <w:pPr>
      <w:numPr>
        <w:numId w:val="32"/>
      </w:numPr>
      <w:tabs>
        <w:tab w:val="clear" w:pos="1211"/>
        <w:tab w:val="num" w:pos="720"/>
      </w:tabs>
      <w:suppressAutoHyphens w:val="0"/>
      <w:autoSpaceDE w:val="0"/>
      <w:autoSpaceDN w:val="0"/>
      <w:spacing w:after="120"/>
      <w:ind w:left="641" w:hanging="284"/>
      <w:jc w:val="both"/>
    </w:pPr>
    <w:rPr>
      <w:sz w:val="22"/>
      <w:szCs w:val="22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lang w:val="fr-FR" w:eastAsia="ar-SA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1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37C65-6D06-4F19-BE7A-12FEEE0B2F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052B8-4210-4EA1-A15B-B94E8070190F}"/>
</file>

<file path=customXml/itemProps3.xml><?xml version="1.0" encoding="utf-8"?>
<ds:datastoreItem xmlns:ds="http://schemas.openxmlformats.org/officeDocument/2006/customXml" ds:itemID="{F3CB535D-996E-4C50-81A0-6F8032D96C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1180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Institut Ferdinand Cocq Ixelles</Company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christiane</dc:creator>
  <cp:keywords/>
  <dc:description/>
  <cp:lastModifiedBy>goulet02</cp:lastModifiedBy>
  <cp:revision>32</cp:revision>
  <dcterms:created xsi:type="dcterms:W3CDTF">2020-06-25T09:26:00Z</dcterms:created>
  <dcterms:modified xsi:type="dcterms:W3CDTF">2021-10-13T13:38:00Z</dcterms:modified>
</cp:coreProperties>
</file>