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  <w:szCs w:val="22"/>
          <w:lang w:val="fr-FR"/>
        </w:rPr>
      </w:pPr>
      <w:r>
        <w:rPr>
          <w:rFonts w:ascii="Times New Roman" w:hAnsi="Times New Roman"/>
          <w:b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szCs w:val="22"/>
          <w:lang w:val="fr-FR"/>
        </w:rPr>
      </w:pPr>
      <w:r>
        <w:rPr>
          <w:rFonts w:ascii="Times New Roman" w:hAnsi="Times New Roman"/>
          <w:b/>
          <w:noProof w:val="0"/>
          <w:sz w:val="22"/>
          <w:szCs w:val="22"/>
          <w:lang w:val="fr-FR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  <w:r>
        <w:rPr>
          <w:rFonts w:ascii="Times New Roman" w:hAnsi="Times New Roman"/>
          <w:b/>
          <w:noProof w:val="0"/>
          <w:sz w:val="22"/>
          <w:szCs w:val="22"/>
          <w:lang w:val="fr-FR"/>
        </w:rPr>
        <w:t xml:space="preserve">ENSEIGNEMENT DE PROMOTION SOCIALE 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  <w:r>
        <w:rPr>
          <w:rFonts w:ascii="Times New Roman" w:hAnsi="Times New Roman"/>
          <w:b/>
          <w:noProof w:val="0"/>
          <w:sz w:val="28"/>
          <w:lang w:val="fr-FR"/>
        </w:rPr>
        <w:t>DOSSIER PEDAGOGIQUE</w:t>
      </w:r>
    </w:p>
    <w:p>
      <w:pPr>
        <w:pStyle w:val="Texte"/>
        <w:ind w:left="2269" w:right="2602"/>
        <w:rPr>
          <w:rFonts w:ascii="Times New Roman" w:hAnsi="Times New Roman"/>
          <w:b/>
          <w:noProof w:val="0"/>
          <w:sz w:val="28"/>
          <w:lang w:val="fr-FR"/>
        </w:rPr>
      </w:pPr>
    </w:p>
    <w:p/>
    <w:p/>
    <w:p>
      <w:pPr>
        <w:jc w:val="center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  <w:r>
        <w:rPr>
          <w:rFonts w:ascii="Times New Roman" w:hAnsi="Times New Roman"/>
          <w:b/>
          <w:noProof w:val="0"/>
          <w:sz w:val="32"/>
          <w:szCs w:val="32"/>
          <w:lang w:val="fr-FR"/>
        </w:rPr>
        <w:t>TECHNIQUES ADMINISTRATIVES ET FISCALES DU COMMERCE INTERNATIONAL ET DES TRANSPORTS</w:t>
      </w: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2"/>
          <w:lang w:val="fr-FR"/>
        </w:rPr>
      </w:pPr>
      <w:r>
        <w:rPr>
          <w:rFonts w:ascii="Times New Roman" w:hAnsi="Times New Roman"/>
          <w:b/>
          <w:noProof w:val="0"/>
          <w:sz w:val="22"/>
          <w:lang w:val="fr-FR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  <w:lang w:val="fr-FR"/>
        </w:rPr>
        <w:t>supérieur de type court</w:t>
      </w:r>
    </w:p>
    <w:p/>
    <w:p>
      <w:pPr>
        <w:jc w:val="center"/>
        <w:rPr>
          <w:b/>
          <w:sz w:val="22"/>
          <w:szCs w:val="22"/>
          <w:lang w:eastAsia="fr-FR"/>
        </w:rPr>
      </w:pPr>
      <w:r>
        <w:rPr>
          <w:b/>
          <w:smallCaps/>
          <w:spacing w:val="5"/>
          <w:sz w:val="24"/>
          <w:szCs w:val="24"/>
          <w:lang w:eastAsia="fr-FR"/>
        </w:rPr>
        <w:t>Domaine : Sciences économiques et de gestion</w:t>
      </w:r>
    </w:p>
    <w:p/>
    <w:p/>
    <w:p>
      <w:pPr>
        <w:pStyle w:val="Rpertoire"/>
        <w:suppressLineNumbers w:val="0"/>
      </w:pPr>
    </w:p>
    <w:tbl>
      <w:tblPr>
        <w:tblW w:w="0" w:type="auto"/>
        <w:tblInd w:w="1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4"/>
      </w:tblGrid>
      <w:tr>
        <w:tc>
          <w:tcPr>
            <w:tcW w:w="5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fr-FR"/>
              </w:rPr>
              <w:t>CODE : 719105U32D2</w:t>
            </w:r>
          </w:p>
        </w:tc>
      </w:tr>
      <w:tr>
        <w:tc>
          <w:tcPr>
            <w:tcW w:w="5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fr-FR"/>
              </w:rPr>
              <w:t>CODE DU DOMAINE DE FORMATION : 704</w:t>
            </w:r>
            <w:bookmarkStart w:id="0" w:name="_GoBack"/>
            <w:bookmarkEnd w:id="0"/>
          </w:p>
        </w:tc>
      </w:tr>
      <w:tr>
        <w:tc>
          <w:tcPr>
            <w:tcW w:w="5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noProof w:val="0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Approbation du Gouvernement de la Communauté française du 1</w:t>
      </w:r>
      <w:r>
        <w:rPr>
          <w:b/>
          <w:sz w:val="22"/>
          <w:szCs w:val="22"/>
          <w:vertAlign w:val="superscript"/>
        </w:rPr>
        <w:t>er</w:t>
      </w:r>
      <w:r>
        <w:rPr>
          <w:b/>
          <w:sz w:val="22"/>
          <w:szCs w:val="22"/>
        </w:rPr>
        <w:t xml:space="preserve"> septembre 2021,</w:t>
      </w:r>
    </w:p>
    <w:p>
      <w:pPr>
        <w:jc w:val="center"/>
        <w:rPr>
          <w:b/>
        </w:rPr>
      </w:pPr>
      <w:r>
        <w:rPr>
          <w:b/>
          <w:sz w:val="22"/>
          <w:szCs w:val="22"/>
        </w:rPr>
        <w:t>sur avis conforme du Conseil général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7"/>
      </w:tblGrid>
      <w:tr>
        <w:trPr>
          <w:jc w:val="center"/>
        </w:trPr>
        <w:tc>
          <w:tcPr>
            <w:tcW w:w="92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>TECHNIQUES ADMINISTRATIVES ET FISCALES DU COMMERCE INTERNATIONAL ET DES TRANSPORTS</w:t>
            </w:r>
          </w:p>
          <w:p>
            <w:pPr>
              <w:jc w:val="center"/>
              <w:rPr>
                <w:b/>
                <w:caps/>
                <w:sz w:val="22"/>
                <w:szCs w:val="22"/>
              </w:rPr>
            </w:pPr>
          </w:p>
          <w:p>
            <w:pPr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widowControl w:val="0"/>
        <w:numPr>
          <w:ilvl w:val="0"/>
          <w:numId w:val="4"/>
        </w:numPr>
        <w:suppressAutoHyphens w:val="0"/>
        <w:autoSpaceDE w:val="0"/>
        <w:autoSpaceDN w:val="0"/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rPr>
          <w:sz w:val="22"/>
          <w:szCs w:val="22"/>
        </w:rPr>
      </w:pPr>
    </w:p>
    <w:p>
      <w:pPr>
        <w:widowControl w:val="0"/>
        <w:numPr>
          <w:ilvl w:val="1"/>
          <w:numId w:val="4"/>
        </w:numPr>
        <w:suppressAutoHyphens w:val="0"/>
        <w:autoSpaceDE w:val="0"/>
        <w:autoSpaceDN w:val="0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pStyle w:val="Retraitcorpsdetexte3"/>
        <w:ind w:left="426"/>
        <w:rPr>
          <w:szCs w:val="22"/>
        </w:rPr>
      </w:pPr>
      <w:r>
        <w:rPr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2"/>
        </w:numPr>
        <w:tabs>
          <w:tab w:val="left" w:pos="1134"/>
        </w:tabs>
        <w:ind w:left="643" w:hanging="283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widowControl w:val="0"/>
        <w:numPr>
          <w:ilvl w:val="1"/>
          <w:numId w:val="4"/>
        </w:numPr>
        <w:suppressAutoHyphens w:val="0"/>
        <w:autoSpaceDE w:val="0"/>
        <w:autoSpaceDN w:val="0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Finalités particulières</w:t>
      </w:r>
    </w:p>
    <w:p>
      <w:pPr>
        <w:pStyle w:val="Retraitcorpsdetexte3"/>
        <w:ind w:left="426"/>
        <w:rPr>
          <w:szCs w:val="22"/>
        </w:rPr>
      </w:pPr>
      <w:r>
        <w:rPr>
          <w:szCs w:val="22"/>
        </w:rPr>
        <w:t>L’unité d’enseignement vise à permettre à l’étudiant :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d'acquérir des connaissances permettant de réaliser les opérations douanières dans les échanges commerciaux entre l'Union européenne et les pays tiers (échanges internationaux) ;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d'appliquer la réglementation et le régime fiscal liés aux échanges commerciaux intra-communautaires ;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d'identifier l'ensemble des documents à réunir dans le cadre d'une opération commerciale internationale donnée et de s'assurer de leur authenticité et conformité légale face aux règlementations en vigueur ;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d'acquérir une connaissance pratique de l'ensemble des documents se présentant au cours d'une transaction commerciale internationale.</w:t>
      </w:r>
    </w:p>
    <w:p>
      <w:pPr>
        <w:ind w:left="851"/>
        <w:rPr>
          <w:sz w:val="22"/>
          <w:szCs w:val="22"/>
        </w:rPr>
      </w:pPr>
    </w:p>
    <w:p>
      <w:pPr>
        <w:ind w:left="851"/>
        <w:rPr>
          <w:sz w:val="22"/>
          <w:szCs w:val="22"/>
        </w:rPr>
      </w:pPr>
    </w:p>
    <w:p>
      <w:pPr>
        <w:widowControl w:val="0"/>
        <w:numPr>
          <w:ilvl w:val="0"/>
          <w:numId w:val="4"/>
        </w:numPr>
        <w:suppressAutoHyphens w:val="0"/>
        <w:autoSpaceDE w:val="0"/>
        <w:autoSpaceDN w:val="0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widowControl w:val="0"/>
        <w:numPr>
          <w:ilvl w:val="1"/>
          <w:numId w:val="4"/>
        </w:numPr>
        <w:suppressAutoHyphens w:val="0"/>
        <w:autoSpaceDE w:val="0"/>
        <w:autoSpaceDN w:val="0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… (des documents d’information pouvant être mis à sa disposition).</w:t>
      </w:r>
    </w:p>
    <w:p>
      <w:pPr>
        <w:tabs>
          <w:tab w:val="num" w:pos="851"/>
        </w:tabs>
        <w:ind w:left="360"/>
        <w:rPr>
          <w:b/>
          <w:sz w:val="22"/>
          <w:szCs w:val="22"/>
        </w:rPr>
      </w:pPr>
    </w:p>
    <w:p>
      <w:pPr>
        <w:widowControl w:val="0"/>
        <w:numPr>
          <w:ilvl w:val="1"/>
          <w:numId w:val="4"/>
        </w:numPr>
        <w:suppressAutoHyphens w:val="0"/>
        <w:autoSpaceDE w:val="0"/>
        <w:autoSpaceDN w:val="0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ind w:left="360"/>
        <w:rPr>
          <w:b/>
          <w:sz w:val="22"/>
          <w:szCs w:val="22"/>
        </w:rPr>
      </w:pPr>
    </w:p>
    <w:p>
      <w:pPr>
        <w:spacing w:after="120"/>
        <w:ind w:left="360"/>
        <w:rPr>
          <w:sz w:val="22"/>
          <w:szCs w:val="22"/>
        </w:rPr>
      </w:pPr>
      <w:r>
        <w:rPr>
          <w:sz w:val="22"/>
          <w:szCs w:val="22"/>
        </w:rPr>
        <w:t>C.E.S.S.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widowControl w:val="0"/>
        <w:numPr>
          <w:ilvl w:val="0"/>
          <w:numId w:val="4"/>
        </w:numPr>
        <w:suppressAutoHyphens w:val="0"/>
        <w:autoSpaceDE w:val="0"/>
        <w:autoSpaceDN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D’APPRENTISSAGE</w:t>
      </w:r>
    </w:p>
    <w:p>
      <w:pPr>
        <w:ind w:left="283" w:hanging="283"/>
        <w:rPr>
          <w:b/>
          <w:sz w:val="22"/>
          <w:szCs w:val="22"/>
        </w:rPr>
      </w:pPr>
    </w:p>
    <w:p>
      <w:pPr>
        <w:suppressAutoHyphens w:val="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Pour atteindre le seuil de réussite, </w:t>
      </w:r>
      <w:r>
        <w:rPr>
          <w:bCs/>
          <w:sz w:val="22"/>
          <w:szCs w:val="22"/>
        </w:rPr>
        <w:t>l’étudiant sera capable,</w:t>
      </w:r>
      <w:r>
        <w:rPr>
          <w:b/>
          <w:sz w:val="22"/>
          <w:szCs w:val="22"/>
        </w:rPr>
        <w:t xml:space="preserve"> </w:t>
      </w:r>
    </w:p>
    <w:p>
      <w:pPr>
        <w:suppressAutoHyphens w:val="0"/>
        <w:ind w:left="360"/>
        <w:jc w:val="both"/>
        <w:rPr>
          <w:b/>
          <w:sz w:val="22"/>
          <w:szCs w:val="22"/>
        </w:rPr>
      </w:pPr>
    </w:p>
    <w:p>
      <w:pPr>
        <w:ind w:left="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face à des situations concrètes de la vie professionnelle mettant en œuvre des opérations internationales :</w:t>
      </w:r>
    </w:p>
    <w:p>
      <w:pPr>
        <w:ind w:left="360"/>
        <w:jc w:val="both"/>
        <w:rPr>
          <w:i/>
          <w:sz w:val="22"/>
          <w:szCs w:val="22"/>
        </w:rPr>
      </w:pPr>
    </w:p>
    <w:p>
      <w:pPr>
        <w:numPr>
          <w:ilvl w:val="0"/>
          <w:numId w:val="2"/>
        </w:numPr>
        <w:tabs>
          <w:tab w:val="left" w:pos="1134"/>
        </w:tabs>
        <w:spacing w:after="120"/>
        <w:ind w:left="578" w:hanging="283"/>
        <w:rPr>
          <w:sz w:val="22"/>
          <w:szCs w:val="22"/>
        </w:rPr>
      </w:pPr>
      <w:r>
        <w:rPr>
          <w:sz w:val="22"/>
          <w:szCs w:val="22"/>
        </w:rPr>
        <w:t>de circonscrire les rôles et les missions de la douane ;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578" w:hanging="283"/>
        <w:rPr>
          <w:sz w:val="22"/>
          <w:szCs w:val="22"/>
        </w:rPr>
      </w:pPr>
      <w:r>
        <w:rPr>
          <w:sz w:val="22"/>
          <w:szCs w:val="22"/>
        </w:rPr>
        <w:t>d’appliquer la base légale et réglementaire régissant les aspects douaniers et fiscaux y relatifs ;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578" w:hanging="283"/>
        <w:rPr>
          <w:sz w:val="22"/>
          <w:szCs w:val="22"/>
        </w:rPr>
      </w:pPr>
      <w:r>
        <w:rPr>
          <w:sz w:val="22"/>
          <w:szCs w:val="22"/>
        </w:rPr>
        <w:t xml:space="preserve">de rédiger et d'analyser les principaux documents y relatifs ; 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578" w:hanging="283"/>
        <w:rPr>
          <w:sz w:val="22"/>
          <w:szCs w:val="22"/>
        </w:rPr>
      </w:pPr>
      <w:r>
        <w:rPr>
          <w:sz w:val="22"/>
          <w:szCs w:val="22"/>
        </w:rPr>
        <w:t>d’en abstraire l'enchaînement logique et d’en déterminer le suivi.</w:t>
      </w:r>
    </w:p>
    <w:p>
      <w:pPr>
        <w:rPr>
          <w:sz w:val="22"/>
          <w:szCs w:val="22"/>
        </w:rPr>
      </w:pPr>
    </w:p>
    <w:p>
      <w:pPr>
        <w:suppressAutoHyphens w:val="0"/>
        <w:ind w:left="3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bCs/>
          <w:sz w:val="22"/>
          <w:szCs w:val="22"/>
        </w:rPr>
        <w:t>il sera tenu compte des critères suivants :</w:t>
      </w:r>
    </w:p>
    <w:p>
      <w:pPr>
        <w:suppressAutoHyphens w:val="0"/>
        <w:ind w:left="360"/>
        <w:jc w:val="both"/>
        <w:rPr>
          <w:bCs/>
          <w:sz w:val="22"/>
          <w:szCs w:val="22"/>
        </w:rPr>
      </w:pPr>
    </w:p>
    <w:p>
      <w:pPr>
        <w:numPr>
          <w:ilvl w:val="0"/>
          <w:numId w:val="11"/>
        </w:numPr>
        <w:tabs>
          <w:tab w:val="clear" w:pos="1211"/>
          <w:tab w:val="num" w:pos="1145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11"/>
        </w:numPr>
        <w:tabs>
          <w:tab w:val="num" w:pos="501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de cohérence : la capacité à établir avec pertinence une majorité de liens logiques pour former un ensemble organisé,</w:t>
      </w:r>
    </w:p>
    <w:p>
      <w:pPr>
        <w:numPr>
          <w:ilvl w:val="0"/>
          <w:numId w:val="11"/>
        </w:numPr>
        <w:tabs>
          <w:tab w:val="num" w:pos="501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11"/>
        </w:numPr>
        <w:tabs>
          <w:tab w:val="num" w:pos="501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widowControl w:val="0"/>
        <w:suppressAutoHyphens w:val="0"/>
        <w:autoSpaceDE w:val="0"/>
        <w:autoSpaceDN w:val="0"/>
        <w:ind w:left="360"/>
        <w:rPr>
          <w:b/>
          <w:sz w:val="22"/>
          <w:szCs w:val="22"/>
        </w:rPr>
      </w:pPr>
    </w:p>
    <w:p>
      <w:pPr>
        <w:widowControl w:val="0"/>
        <w:suppressAutoHyphens w:val="0"/>
        <w:autoSpaceDE w:val="0"/>
        <w:autoSpaceDN w:val="0"/>
        <w:ind w:left="360"/>
        <w:rPr>
          <w:b/>
          <w:sz w:val="22"/>
          <w:szCs w:val="22"/>
        </w:rPr>
      </w:pPr>
    </w:p>
    <w:p>
      <w:pPr>
        <w:widowControl w:val="0"/>
        <w:numPr>
          <w:ilvl w:val="0"/>
          <w:numId w:val="4"/>
        </w:numPr>
        <w:suppressAutoHyphens w:val="0"/>
        <w:autoSpaceDE w:val="0"/>
        <w:autoSpaceDN w:val="0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ind w:left="360"/>
        <w:rPr>
          <w:sz w:val="22"/>
          <w:szCs w:val="22"/>
        </w:rPr>
      </w:pPr>
    </w:p>
    <w:p>
      <w:pPr>
        <w:suppressAutoHyphens w:val="0"/>
        <w:ind w:left="360"/>
        <w:jc w:val="both"/>
        <w:rPr>
          <w:bCs/>
          <w:i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suppressAutoHyphens w:val="0"/>
        <w:ind w:left="360"/>
        <w:jc w:val="both"/>
        <w:rPr>
          <w:i/>
          <w:sz w:val="22"/>
          <w:szCs w:val="22"/>
        </w:rPr>
      </w:pPr>
    </w:p>
    <w:p>
      <w:pPr>
        <w:suppressAutoHyphens w:val="0"/>
        <w:ind w:left="360"/>
        <w:jc w:val="both"/>
        <w:rPr>
          <w:sz w:val="22"/>
          <w:szCs w:val="22"/>
        </w:rPr>
      </w:pPr>
      <w:r>
        <w:rPr>
          <w:i/>
          <w:sz w:val="22"/>
          <w:szCs w:val="22"/>
        </w:rPr>
        <w:t>face à des situations concrètes de la vie professionnelle mettant en œuvre des opérations</w:t>
      </w:r>
      <w:r>
        <w:rPr>
          <w:i/>
          <w:color w:val="FF0000"/>
          <w:sz w:val="22"/>
          <w:szCs w:val="22"/>
        </w:rPr>
        <w:t xml:space="preserve"> </w:t>
      </w:r>
      <w:r>
        <w:rPr>
          <w:i/>
          <w:sz w:val="22"/>
          <w:szCs w:val="22"/>
        </w:rPr>
        <w:t>internationales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de gérer les documents relatifs aux opérations internationales :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en appliquant les principes et les enjeux de la gestion documentaire à l’international,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identifiant les composantes de la chaîne documentaire, 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en explicitant les enjeux de la dématérialisation des documents,</w:t>
      </w:r>
    </w:p>
    <w:p>
      <w:pPr>
        <w:numPr>
          <w:ilvl w:val="1"/>
          <w:numId w:val="5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utilisant les fonctionnalités de logiciels de gestion export ;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de réaliser des opérations intra-communautaires :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en tenant compte des incidences fiscales des opérations intracommunautaires,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appliquant les mécanismes de la TVA et accises et de la TVA intra-communautaire, </w:t>
      </w:r>
    </w:p>
    <w:p>
      <w:pPr>
        <w:numPr>
          <w:ilvl w:val="1"/>
          <w:numId w:val="5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en tenant compte des obligations déclaratives et documentaires ;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de gérer les opérations avec les pays tiers :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appliquant les régimes douaniers en vigueur en justifiant ses choix (identification du régime douanier adapté à l’opération), 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organisant le dédouanement (service douane ou prestataire), 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en procédant au dédouanement (incidences du choix de procédures, déroulement des procédures de droit commun et principe de fonctionnement des procédures simplifiées), </w:t>
      </w:r>
    </w:p>
    <w:p>
      <w:pPr>
        <w:numPr>
          <w:ilvl w:val="1"/>
          <w:numId w:val="5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évaluant la dette douanière et le processus de paiement ; </w:t>
      </w:r>
    </w:p>
    <w:p>
      <w:pPr>
        <w:numPr>
          <w:ilvl w:val="0"/>
          <w:numId w:val="2"/>
        </w:numPr>
        <w:tabs>
          <w:tab w:val="left" w:pos="1134"/>
        </w:tabs>
        <w:spacing w:after="120"/>
        <w:ind w:left="643" w:hanging="283"/>
        <w:rPr>
          <w:sz w:val="22"/>
          <w:szCs w:val="22"/>
        </w:rPr>
      </w:pPr>
      <w:r>
        <w:rPr>
          <w:sz w:val="22"/>
          <w:szCs w:val="22"/>
        </w:rPr>
        <w:t>de circonscrire les rôles et les missions de la douane de l’UE :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par la connaissance des différentes frontières de l’UE,</w:t>
      </w:r>
    </w:p>
    <w:p>
      <w:pPr>
        <w:numPr>
          <w:ilvl w:val="1"/>
          <w:numId w:val="5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en définissant les rôles de la douane,</w:t>
      </w:r>
    </w:p>
    <w:p>
      <w:pPr>
        <w:numPr>
          <w:ilvl w:val="1"/>
          <w:numId w:val="5"/>
        </w:numPr>
        <w:suppressAutoHyphens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par la connaissance des différentes instances et leurs bases légales en matière de douane.</w:t>
      </w:r>
    </w:p>
    <w:p>
      <w:pPr>
        <w:suppressAutoHyphens w:val="0"/>
        <w:jc w:val="both"/>
        <w:rPr>
          <w:sz w:val="22"/>
          <w:szCs w:val="22"/>
        </w:rPr>
      </w:pPr>
    </w:p>
    <w:p>
      <w:pPr>
        <w:suppressAutoHyphens w:val="0"/>
        <w:jc w:val="both"/>
        <w:rPr>
          <w:sz w:val="22"/>
          <w:szCs w:val="22"/>
        </w:rPr>
      </w:pPr>
    </w:p>
    <w:p>
      <w:pPr>
        <w:widowControl w:val="0"/>
        <w:numPr>
          <w:ilvl w:val="0"/>
          <w:numId w:val="4"/>
        </w:numPr>
        <w:suppressAutoHyphens w:val="0"/>
        <w:autoSpaceDE w:val="0"/>
        <w:autoSpaceDN w:val="0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rPr>
          <w:sz w:val="22"/>
        </w:rPr>
      </w:pPr>
    </w:p>
    <w:p>
      <w:pPr>
        <w:pStyle w:val="dbut1"/>
        <w:spacing w:before="0"/>
        <w:ind w:left="425"/>
      </w:pPr>
      <w:r>
        <w:t>Un enseignant ou un expert.</w:t>
      </w:r>
    </w:p>
    <w:p>
      <w:pPr>
        <w:spacing w:after="120"/>
        <w:ind w:left="426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jc w:val="both"/>
        <w:rPr>
          <w:sz w:val="22"/>
        </w:rPr>
      </w:pPr>
    </w:p>
    <w:p>
      <w:pPr>
        <w:pStyle w:val="dbut1"/>
        <w:spacing w:before="0" w:after="0"/>
        <w:ind w:left="425"/>
      </w:pPr>
    </w:p>
    <w:p>
      <w:pPr>
        <w:widowControl w:val="0"/>
        <w:numPr>
          <w:ilvl w:val="0"/>
          <w:numId w:val="4"/>
        </w:numPr>
        <w:suppressAutoHyphens w:val="0"/>
        <w:autoSpaceDE w:val="0"/>
        <w:autoSpaceDN w:val="0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rPr>
          <w:b/>
          <w:sz w:val="22"/>
        </w:rPr>
      </w:pPr>
    </w:p>
    <w:p>
      <w:pPr>
        <w:ind w:left="426"/>
        <w:rPr>
          <w:sz w:val="22"/>
        </w:rPr>
      </w:pPr>
      <w:r>
        <w:rPr>
          <w:sz w:val="22"/>
        </w:rPr>
        <w:t>Aucune recommandation particulière.</w:t>
      </w:r>
    </w:p>
    <w:p>
      <w:pPr>
        <w:ind w:left="851"/>
      </w:pPr>
    </w:p>
    <w:p>
      <w:pPr>
        <w:rPr>
          <w:sz w:val="22"/>
          <w:szCs w:val="22"/>
        </w:rPr>
      </w:pPr>
    </w:p>
    <w:p>
      <w:pPr>
        <w:widowControl w:val="0"/>
        <w:numPr>
          <w:ilvl w:val="0"/>
          <w:numId w:val="4"/>
        </w:numPr>
        <w:suppressAutoHyphens w:val="0"/>
        <w:autoSpaceDE w:val="0"/>
        <w:autoSpaceDN w:val="0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D’ENSEIGNEMENT</w:t>
      </w:r>
    </w:p>
    <w:p>
      <w:pPr>
        <w:widowControl w:val="0"/>
        <w:suppressAutoHyphens w:val="0"/>
        <w:autoSpaceDE w:val="0"/>
        <w:autoSpaceDN w:val="0"/>
        <w:ind w:left="360"/>
        <w:rPr>
          <w:b/>
          <w:sz w:val="22"/>
          <w:szCs w:val="22"/>
        </w:rPr>
      </w:pPr>
    </w:p>
    <w:p>
      <w:pPr>
        <w:widowControl w:val="0"/>
        <w:suppressAutoHyphens w:val="0"/>
        <w:autoSpaceDE w:val="0"/>
        <w:autoSpaceDN w:val="0"/>
        <w:rPr>
          <w:b/>
          <w:sz w:val="22"/>
          <w:szCs w:val="22"/>
        </w:rPr>
      </w:pPr>
    </w:p>
    <w:tbl>
      <w:tblPr>
        <w:tblW w:w="8874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1"/>
        <w:gridCol w:w="1701"/>
        <w:gridCol w:w="1701"/>
        <w:gridCol w:w="1731"/>
      </w:tblGrid>
      <w:tr>
        <w:tc>
          <w:tcPr>
            <w:tcW w:w="3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c>
          <w:tcPr>
            <w:tcW w:w="3741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Techniques administratives et fiscales du commerce international et des transports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</w:tr>
      <w:tr>
        <w:tc>
          <w:tcPr>
            <w:tcW w:w="5442" w:type="dxa"/>
            <w:gridSpan w:val="2"/>
            <w:tcBorders>
              <w:left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701" w:type="dxa"/>
            <w:tcBorders>
              <w:left w:val="single" w:sz="4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54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right="709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</w:tbl>
    <w:p>
      <w:pPr>
        <w:ind w:firstLine="1"/>
        <w:rPr>
          <w:sz w:val="22"/>
          <w:szCs w:val="22"/>
        </w:rPr>
      </w:pPr>
    </w:p>
    <w:p>
      <w:pPr>
        <w:ind w:left="851"/>
      </w:pPr>
    </w:p>
    <w:p/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4F81BD" w:themeColor="accent1"/>
      </w:rPr>
    </w:pPr>
    <w:r>
      <w:rPr>
        <w:color w:val="4F81BD" w:themeColor="accent1"/>
      </w:rPr>
      <w:t>UE Techniques administratives et fiscales du commerce international et des transports</w:t>
    </w:r>
    <w:r>
      <w:rPr>
        <w:color w:val="4F81BD" w:themeColor="accent1"/>
      </w:rPr>
      <w:tab/>
    </w:r>
    <w:r>
      <w:rPr>
        <w:color w:val="4F81BD" w:themeColor="accent1"/>
      </w:rPr>
      <w:tab/>
      <w:t xml:space="preserve">Page </w:t>
    </w:r>
    <w:r>
      <w:rPr>
        <w:b/>
        <w:bCs/>
        <w:color w:val="4F81BD" w:themeColor="accent1"/>
        <w:sz w:val="24"/>
        <w:szCs w:val="24"/>
      </w:rPr>
      <w:fldChar w:fldCharType="begin"/>
    </w:r>
    <w:r>
      <w:rPr>
        <w:b/>
        <w:bCs/>
        <w:color w:val="4F81BD" w:themeColor="accent1"/>
      </w:rPr>
      <w:instrText>PAGE</w:instrText>
    </w:r>
    <w:r>
      <w:rPr>
        <w:b/>
        <w:bCs/>
        <w:color w:val="4F81BD" w:themeColor="accent1"/>
        <w:sz w:val="24"/>
        <w:szCs w:val="24"/>
      </w:rPr>
      <w:fldChar w:fldCharType="separate"/>
    </w:r>
    <w:r>
      <w:rPr>
        <w:b/>
        <w:bCs/>
        <w:noProof/>
        <w:color w:val="4F81BD" w:themeColor="accent1"/>
      </w:rPr>
      <w:t>2</w:t>
    </w:r>
    <w:r>
      <w:rPr>
        <w:b/>
        <w:bCs/>
        <w:color w:val="4F81BD" w:themeColor="accent1"/>
        <w:sz w:val="24"/>
        <w:szCs w:val="24"/>
      </w:rPr>
      <w:fldChar w:fldCharType="end"/>
    </w:r>
    <w:r>
      <w:rPr>
        <w:color w:val="4F81BD" w:themeColor="accent1"/>
      </w:rPr>
      <w:t xml:space="preserve"> sur </w:t>
    </w:r>
    <w:r>
      <w:rPr>
        <w:b/>
        <w:bCs/>
        <w:color w:val="4F81BD" w:themeColor="accent1"/>
        <w:sz w:val="24"/>
        <w:szCs w:val="24"/>
      </w:rPr>
      <w:fldChar w:fldCharType="begin"/>
    </w:r>
    <w:r>
      <w:rPr>
        <w:b/>
        <w:bCs/>
        <w:color w:val="4F81BD" w:themeColor="accent1"/>
      </w:rPr>
      <w:instrText>NUMPAGES</w:instrText>
    </w:r>
    <w:r>
      <w:rPr>
        <w:b/>
        <w:bCs/>
        <w:color w:val="4F81BD" w:themeColor="accent1"/>
        <w:sz w:val="24"/>
        <w:szCs w:val="24"/>
      </w:rPr>
      <w:fldChar w:fldCharType="separate"/>
    </w:r>
    <w:r>
      <w:rPr>
        <w:b/>
        <w:bCs/>
        <w:noProof/>
        <w:color w:val="4F81BD" w:themeColor="accent1"/>
      </w:rPr>
      <w:t>4</w:t>
    </w:r>
    <w:r>
      <w:rPr>
        <w:b/>
        <w:bCs/>
        <w:color w:val="4F81BD" w:themeColor="accent1"/>
        <w:sz w:val="24"/>
        <w:szCs w:val="24"/>
      </w:rPr>
      <w:fldChar w:fldCharType="end"/>
    </w:r>
  </w:p>
  <w:p>
    <w:pPr>
      <w:pStyle w:val="Pieddepage"/>
      <w:rPr>
        <w:lang w:val="fr-B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1415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1415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1415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1415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1415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1415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1415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1415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1415"/>
        </w:tabs>
      </w:pPr>
    </w:lvl>
  </w:abstractNum>
  <w:abstractNum w:abstractNumId="1" w15:restartNumberingAfterBreak="0">
    <w:nsid w:val="00000008"/>
    <w:multiLevelType w:val="singleLevel"/>
    <w:tmpl w:val="00000008"/>
    <w:lvl w:ilvl="0">
      <w:numFmt w:val="bullet"/>
      <w:lvlText w:val=""/>
      <w:lvlJc w:val="left"/>
      <w:pPr>
        <w:tabs>
          <w:tab w:val="num" w:pos="1134"/>
        </w:tabs>
      </w:pPr>
      <w:rPr>
        <w:rFonts w:ascii="Symbol" w:hAnsi="Symbol"/>
      </w:rPr>
    </w:lvl>
  </w:abstractNum>
  <w:abstractNum w:abstractNumId="2" w15:restartNumberingAfterBreak="0">
    <w:nsid w:val="1F3C014E"/>
    <w:multiLevelType w:val="hybridMultilevel"/>
    <w:tmpl w:val="59B4C52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ED4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" w15:restartNumberingAfterBreak="0">
    <w:nsid w:val="3CD6223C"/>
    <w:multiLevelType w:val="hybridMultilevel"/>
    <w:tmpl w:val="FF96E8E2"/>
    <w:lvl w:ilvl="0" w:tplc="3A44A240">
      <w:numFmt w:val="bullet"/>
      <w:lvlText w:val=""/>
      <w:lvlJc w:val="left"/>
      <w:pPr>
        <w:tabs>
          <w:tab w:val="num" w:pos="1134"/>
        </w:tabs>
        <w:ind w:left="0" w:firstLine="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E4D25"/>
    <w:multiLevelType w:val="hybridMultilevel"/>
    <w:tmpl w:val="9920CF4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72C54"/>
    <w:multiLevelType w:val="singleLevel"/>
    <w:tmpl w:val="92CE82E4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7" w15:restartNumberingAfterBreak="0">
    <w:nsid w:val="4B1A7BAA"/>
    <w:multiLevelType w:val="hybridMultilevel"/>
    <w:tmpl w:val="E4088BE0"/>
    <w:lvl w:ilvl="0" w:tplc="3A44A240">
      <w:numFmt w:val="bullet"/>
      <w:lvlText w:val=""/>
      <w:lvlJc w:val="left"/>
      <w:pPr>
        <w:tabs>
          <w:tab w:val="num" w:pos="1134"/>
        </w:tabs>
        <w:ind w:left="0" w:firstLine="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B5F58"/>
    <w:multiLevelType w:val="multilevel"/>
    <w:tmpl w:val="D86EB116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0084FEB"/>
    <w:multiLevelType w:val="hybridMultilevel"/>
    <w:tmpl w:val="428422C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078AD"/>
    <w:multiLevelType w:val="hybridMultilevel"/>
    <w:tmpl w:val="775A2EB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0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6689AA-33D4-43F7-8706-16BEC9F9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qFormat/>
    <w:pPr>
      <w:keepNext/>
      <w:widowControl w:val="0"/>
      <w:numPr>
        <w:numId w:val="1"/>
      </w:numPr>
      <w:ind w:left="851"/>
      <w:jc w:val="both"/>
      <w:outlineLvl w:val="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Times New Roman" w:eastAsia="Times New Roman" w:hAnsi="Times New Roman" w:cs="Times New Roman"/>
      <w:sz w:val="24"/>
      <w:szCs w:val="20"/>
      <w:lang w:val="fr-FR" w:eastAsia="ar-SA"/>
    </w:rPr>
  </w:style>
  <w:style w:type="paragraph" w:customStyle="1" w:styleId="Rpertoire">
    <w:name w:val="Répertoire"/>
    <w:basedOn w:val="Normal"/>
    <w:pPr>
      <w:suppressLineNumbers/>
    </w:pPr>
    <w:rPr>
      <w:rFonts w:cs="MS Serif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noProof/>
      <w:lang w:val="fr-BE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3">
    <w:name w:val="Body Text Indent 3"/>
    <w:basedOn w:val="Normal"/>
    <w:link w:val="Retraitcorpsdetexte3Car"/>
    <w:pPr>
      <w:spacing w:after="120"/>
      <w:ind w:left="851"/>
    </w:pPr>
    <w:rPr>
      <w:sz w:val="22"/>
    </w:rPr>
  </w:style>
  <w:style w:type="character" w:customStyle="1" w:styleId="Retraitcorpsdetexte3Car">
    <w:name w:val="Retrait corps de texte 3 Car"/>
    <w:basedOn w:val="Policepardfaut"/>
    <w:link w:val="Retraitcorpsdetexte3"/>
    <w:rPr>
      <w:rFonts w:ascii="Times New Roman" w:eastAsia="Times New Roman" w:hAnsi="Times New Roman" w:cs="Times New Roman"/>
      <w:szCs w:val="20"/>
      <w:lang w:val="fr-FR" w:eastAsia="ar-SA"/>
    </w:rPr>
  </w:style>
  <w:style w:type="paragraph" w:customStyle="1" w:styleId="dbut1">
    <w:name w:val="début1"/>
    <w:basedOn w:val="Normal"/>
    <w:pPr>
      <w:tabs>
        <w:tab w:val="left" w:pos="708"/>
      </w:tabs>
      <w:autoSpaceDE w:val="0"/>
      <w:spacing w:before="120" w:after="120"/>
      <w:ind w:left="854"/>
      <w:jc w:val="both"/>
    </w:pPr>
    <w:rPr>
      <w:iCs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PU1">
    <w:name w:val="PU1"/>
    <w:basedOn w:val="Normal"/>
    <w:autoRedefine/>
    <w:uiPriority w:val="99"/>
    <w:pPr>
      <w:numPr>
        <w:numId w:val="11"/>
      </w:numPr>
      <w:suppressAutoHyphens w:val="0"/>
      <w:autoSpaceDE w:val="0"/>
      <w:autoSpaceDN w:val="0"/>
      <w:jc w:val="both"/>
    </w:pPr>
    <w:rPr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2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5E2C0-1D75-4790-8836-7291715E5363}"/>
</file>

<file path=customXml/itemProps2.xml><?xml version="1.0" encoding="utf-8"?>
<ds:datastoreItem xmlns:ds="http://schemas.openxmlformats.org/officeDocument/2006/customXml" ds:itemID="{CD515F7B-5785-454D-9FB8-1056A3CBB4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851</Words>
  <Characters>4682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 Rouquaud</dc:creator>
  <cp:lastModifiedBy>goulet02</cp:lastModifiedBy>
  <cp:revision>40</cp:revision>
  <dcterms:created xsi:type="dcterms:W3CDTF">2020-02-07T12:45:00Z</dcterms:created>
  <dcterms:modified xsi:type="dcterms:W3CDTF">2021-10-04T14:54:00Z</dcterms:modified>
</cp:coreProperties>
</file>