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right"/>
        <w:rPr>
          <w:rFonts w:ascii="Times New Roman" w:hAnsi="Times New Roman"/>
          <w:noProof w:val="0"/>
        </w:rPr>
      </w:pPr>
    </w:p>
    <w:p>
      <w:pPr>
        <w:pStyle w:val="Texte"/>
        <w:jc w:val="right"/>
        <w:rPr>
          <w:rFonts w:ascii="Times New Roman" w:hAnsi="Times New Roman"/>
          <w:noProof w:val="0"/>
        </w:rPr>
      </w:pPr>
    </w:p>
    <w:p>
      <w:pPr>
        <w:pStyle w:val="Texte"/>
        <w:jc w:val="center"/>
        <w:rPr>
          <w:rFonts w:ascii="Times New Roman" w:hAnsi="Times New Roman"/>
          <w:b/>
          <w:bCs/>
          <w:sz w:val="22"/>
          <w:szCs w:val="22"/>
        </w:rPr>
      </w:pPr>
      <w:r>
        <w:rPr>
          <w:rFonts w:ascii="Times New Roman" w:hAnsi="Times New Roman"/>
          <w:b/>
          <w:bCs/>
          <w:sz w:val="22"/>
          <w:szCs w:val="22"/>
        </w:rPr>
        <w:t>MINISTERE DE LA COMMUNAUTE FRANCAISE</w:t>
      </w:r>
    </w:p>
    <w:p>
      <w:pPr>
        <w:pStyle w:val="Texte"/>
        <w:jc w:val="center"/>
        <w:rPr>
          <w:rFonts w:ascii="Times New Roman" w:hAnsi="Times New Roman"/>
          <w:b/>
          <w:bCs/>
          <w:sz w:val="22"/>
          <w:szCs w:val="22"/>
        </w:rPr>
      </w:pPr>
    </w:p>
    <w:p>
      <w:pPr>
        <w:pStyle w:val="Texte"/>
        <w:jc w:val="center"/>
        <w:rPr>
          <w:rFonts w:ascii="Times New Roman" w:hAnsi="Times New Roman"/>
          <w:b/>
          <w:bCs/>
          <w:sz w:val="18"/>
          <w:szCs w:val="18"/>
        </w:rPr>
      </w:pPr>
      <w:r>
        <w:rPr>
          <w:rFonts w:ascii="Times New Roman" w:hAnsi="Times New Roman"/>
          <w:b/>
          <w:bCs/>
          <w:sz w:val="18"/>
          <w:szCs w:val="18"/>
        </w:rPr>
        <w:t>ADMINISTRATION GENERALE DE L’ENSEIGNEMENT</w:t>
      </w:r>
    </w:p>
    <w:p>
      <w:pPr>
        <w:pStyle w:val="Texte"/>
        <w:jc w:val="center"/>
        <w:rPr>
          <w:rFonts w:ascii="Times New Roman" w:hAnsi="Times New Roman"/>
          <w:sz w:val="22"/>
          <w:szCs w:val="22"/>
        </w:rPr>
      </w:pPr>
    </w:p>
    <w:p>
      <w:pPr>
        <w:pStyle w:val="Texte"/>
        <w:jc w:val="center"/>
        <w:rPr>
          <w:rFonts w:ascii="Times New Roman" w:hAnsi="Times New Roman"/>
          <w:b/>
          <w:bCs/>
          <w:sz w:val="22"/>
          <w:szCs w:val="22"/>
        </w:rPr>
      </w:pPr>
      <w:r>
        <w:rPr>
          <w:rFonts w:ascii="Times New Roman" w:hAnsi="Times New Roman"/>
          <w:b/>
          <w:bCs/>
          <w:sz w:val="22"/>
          <w:szCs w:val="22"/>
        </w:rPr>
        <w:t xml:space="preserve">ENSEIGNEMENT DE PROMOTION SOCIALE </w:t>
      </w:r>
    </w:p>
    <w:p/>
    <w:p/>
    <w:p/>
    <w:p/>
    <w:p/>
    <w:p/>
    <w:p/>
    <w:p/>
    <w:p/>
    <w:p/>
    <w:p/>
    <w:p/>
    <w:p/>
    <w:p/>
    <w:p/>
    <w:p/>
    <w:p/>
    <w:p/>
    <w:p/>
    <w:p>
      <w:pPr>
        <w:pStyle w:val="Texte"/>
        <w:ind w:left="2269" w:right="2602"/>
        <w:jc w:val="center"/>
        <w:rPr>
          <w:rFonts w:ascii="Times New Roman" w:hAnsi="Times New Roman"/>
          <w:b/>
          <w:noProof w:val="0"/>
          <w:sz w:val="28"/>
        </w:rPr>
      </w:pPr>
    </w:p>
    <w:p>
      <w:pPr>
        <w:pStyle w:val="Texte"/>
        <w:ind w:left="2269" w:right="2602"/>
        <w:jc w:val="center"/>
        <w:outlineLvl w:val="0"/>
        <w:rPr>
          <w:rFonts w:ascii="Times New Roman" w:hAnsi="Times New Roman"/>
          <w:b/>
          <w:noProof w:val="0"/>
          <w:sz w:val="28"/>
        </w:rPr>
      </w:pPr>
      <w:r>
        <w:rPr>
          <w:rFonts w:ascii="Times New Roman" w:hAnsi="Times New Roman"/>
          <w:b/>
          <w:noProof w:val="0"/>
          <w:sz w:val="28"/>
        </w:rPr>
        <w:t>DOSSIER PEDAGOGIQUE</w:t>
      </w:r>
    </w:p>
    <w:p>
      <w:pPr>
        <w:pStyle w:val="Texte"/>
        <w:ind w:left="2269" w:right="2602"/>
        <w:jc w:val="center"/>
        <w:rPr>
          <w:rFonts w:ascii="Times New Roman" w:hAnsi="Times New Roman"/>
          <w:b/>
          <w:noProof w:val="0"/>
          <w:sz w:val="28"/>
        </w:rPr>
      </w:pPr>
    </w:p>
    <w:p/>
    <w:p/>
    <w:p>
      <w:pPr>
        <w:jc w:val="center"/>
        <w:outlineLvl w:val="0"/>
        <w:rPr>
          <w:b/>
          <w:sz w:val="22"/>
        </w:rPr>
      </w:pPr>
      <w:r>
        <w:rPr>
          <w:b/>
          <w:sz w:val="22"/>
        </w:rPr>
        <w:t>UNITE D'ENSEIGNEMENT</w:t>
      </w:r>
    </w:p>
    <w:p>
      <w:pPr>
        <w:jc w:val="center"/>
        <w:rPr>
          <w:sz w:val="22"/>
        </w:rPr>
      </w:pPr>
    </w:p>
    <w:p>
      <w:pPr>
        <w:pStyle w:val="Titre1"/>
        <w:rPr>
          <w:rFonts w:cs="Mangal"/>
        </w:rPr>
      </w:pPr>
    </w:p>
    <w:p>
      <w:pPr>
        <w:pStyle w:val="Titre1"/>
        <w:rPr>
          <w:rFonts w:cs="Mangal"/>
          <w:sz w:val="32"/>
          <w:szCs w:val="32"/>
        </w:rPr>
      </w:pPr>
      <w:r>
        <w:rPr>
          <w:rFonts w:cs="Mangal"/>
          <w:sz w:val="32"/>
          <w:szCs w:val="32"/>
        </w:rPr>
        <w:t>LANGUE EN SITUATION APPLIQUEE A</w:t>
      </w:r>
    </w:p>
    <w:p>
      <w:pPr>
        <w:pStyle w:val="Titre1"/>
        <w:rPr>
          <w:rFonts w:ascii="Times" w:hAnsi="Times" w:cs="Times"/>
          <w:b w:val="0"/>
          <w:bCs w:val="0"/>
          <w:sz w:val="32"/>
          <w:szCs w:val="32"/>
        </w:rPr>
      </w:pPr>
      <w:r>
        <w:rPr>
          <w:rFonts w:cs="Mangal"/>
          <w:sz w:val="32"/>
          <w:szCs w:val="32"/>
        </w:rPr>
        <w:t xml:space="preserve"> L’ENSEIGNEMENT SUPERIEUR - UE 6</w:t>
      </w:r>
    </w:p>
    <w:p>
      <w:pPr>
        <w:jc w:val="center"/>
      </w:pPr>
    </w:p>
    <w:p>
      <w:pPr>
        <w:jc w:val="center"/>
      </w:pPr>
    </w:p>
    <w:p>
      <w:pPr>
        <w:pStyle w:val="Titre2"/>
        <w:spacing w:after="60"/>
        <w:jc w:val="center"/>
        <w:rPr>
          <w:rFonts w:cs="Mangal"/>
        </w:rPr>
      </w:pPr>
      <w:r>
        <w:rPr>
          <w:rFonts w:cs="Mangal"/>
        </w:rPr>
        <w:t>ENSEIGNEMENT SUPERIEUR DE TYPE COURT</w:t>
      </w:r>
    </w:p>
    <w:p>
      <w:pPr>
        <w:pStyle w:val="Titre2"/>
        <w:jc w:val="center"/>
        <w:rPr>
          <w:rFonts w:cs="Mangal"/>
          <w:sz w:val="20"/>
          <w:szCs w:val="20"/>
        </w:rPr>
      </w:pPr>
      <w:r>
        <w:rPr>
          <w:sz w:val="20"/>
          <w:szCs w:val="20"/>
        </w:rPr>
        <w:t>DOMAINE : LANGUES, LETTRES ET TRADUCTOLOGIE</w:t>
      </w:r>
    </w:p>
    <w:p>
      <w:pPr>
        <w:jc w:val="center"/>
      </w:pPr>
    </w:p>
    <w:p>
      <w:pPr>
        <w:jc w:val="center"/>
      </w:pPr>
    </w:p>
    <w:p>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c>
          <w:tcPr>
            <w:tcW w:w="5529" w:type="dxa"/>
            <w:tcBorders>
              <w:top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 xml:space="preserve">CODE : </w:t>
            </w:r>
            <w:r>
              <w:rPr>
                <w:rFonts w:cs="Mangal"/>
                <w:b/>
                <w:bCs/>
                <w:spacing w:val="-2"/>
                <w:sz w:val="22"/>
                <w:szCs w:val="22"/>
                <w:lang w:val="fr-BE"/>
              </w:rPr>
              <w:t>73XX96U32D2</w:t>
            </w:r>
          </w:p>
          <w:p>
            <w:pPr>
              <w:pStyle w:val="Texte"/>
              <w:jc w:val="center"/>
              <w:rPr>
                <w:rFonts w:ascii="Times New Roman" w:hAnsi="Times New Roman"/>
                <w:b/>
                <w:noProof w:val="0"/>
                <w:sz w:val="22"/>
              </w:rPr>
            </w:pPr>
          </w:p>
        </w:tc>
      </w:tr>
      <w:tr>
        <w:tc>
          <w:tcPr>
            <w:tcW w:w="5529" w:type="dxa"/>
          </w:tcPr>
          <w:p>
            <w:pPr>
              <w:pStyle w:val="Texte"/>
              <w:jc w:val="center"/>
              <w:rPr>
                <w:rFonts w:ascii="Times New Roman" w:hAnsi="Times New Roman"/>
                <w:b/>
                <w:noProof w:val="0"/>
                <w:sz w:val="22"/>
              </w:rPr>
            </w:pPr>
            <w:r>
              <w:rPr>
                <w:rFonts w:ascii="Times New Roman" w:hAnsi="Times New Roman"/>
                <w:b/>
                <w:noProof w:val="0"/>
                <w:szCs w:val="22"/>
              </w:rPr>
              <w:t>CODE DU DOMAINE DE FORMATION : 706</w:t>
            </w:r>
          </w:p>
        </w:tc>
      </w:tr>
      <w:tr>
        <w:tc>
          <w:tcPr>
            <w:tcW w:w="5529" w:type="dxa"/>
            <w:tcBorders>
              <w:bottom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DOCUMENT DE REFERENCE INTER-RESEAUX</w:t>
            </w:r>
          </w:p>
          <w:p>
            <w:pPr>
              <w:pStyle w:val="Texte"/>
              <w:jc w:val="center"/>
              <w:rPr>
                <w:rFonts w:ascii="Times New Roman" w:hAnsi="Times New Roman"/>
                <w:noProof w:val="0"/>
                <w:sz w:val="22"/>
              </w:rPr>
            </w:pPr>
          </w:p>
        </w:tc>
      </w:tr>
    </w:tbl>
    <w:p>
      <w:pPr>
        <w:jc w:val="center"/>
      </w:pPr>
    </w:p>
    <w:p>
      <w:pPr>
        <w:jc w:val="center"/>
      </w:pPr>
    </w:p>
    <w:p>
      <w:pPr>
        <w:jc w:val="center"/>
      </w:pPr>
    </w:p>
    <w:p>
      <w:pPr>
        <w:jc w:val="center"/>
      </w:pPr>
    </w:p>
    <w:p>
      <w:pPr>
        <w:jc w:val="center"/>
      </w:pPr>
    </w:p>
    <w:p>
      <w:pPr>
        <w:jc w:val="center"/>
      </w:pPr>
    </w:p>
    <w:p>
      <w:pPr>
        <w:jc w:val="center"/>
      </w:pPr>
    </w:p>
    <w:p>
      <w:pPr>
        <w:jc w:val="center"/>
      </w:pPr>
    </w:p>
    <w:p>
      <w:pPr>
        <w:jc w:val="center"/>
        <w:outlineLvl w:val="0"/>
        <w:rPr>
          <w:b/>
        </w:rPr>
      </w:pPr>
      <w:r>
        <w:rPr>
          <w:b/>
        </w:rPr>
        <w:t>Approbation du Gouvernement de la Communauté française du 24 novembre 2016</w:t>
      </w:r>
      <w:bookmarkStart w:id="0" w:name="_GoBack"/>
      <w:bookmarkEnd w:id="0"/>
      <w:r>
        <w:rPr>
          <w:b/>
        </w:rPr>
        <w:t>,</w:t>
      </w:r>
    </w:p>
    <w:p>
      <w:pPr>
        <w:jc w:val="center"/>
        <w:rPr>
          <w:b/>
        </w:rPr>
      </w:pPr>
      <w:r>
        <w:rPr>
          <w:b/>
        </w:rPr>
        <w:t>sur avis conforme du Conseil général</w:t>
      </w:r>
    </w:p>
    <w:tbl>
      <w:tblPr>
        <w:tblW w:w="9212" w:type="dxa"/>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firstRow="0" w:lastRow="0" w:firstColumn="0" w:lastColumn="0" w:noHBand="0" w:noVBand="0"/>
      </w:tblPr>
      <w:tblGrid>
        <w:gridCol w:w="9212"/>
      </w:tblGrid>
      <w:tr>
        <w:tc>
          <w:tcPr>
            <w:tcW w:w="9212" w:type="dxa"/>
            <w:tcBorders>
              <w:top w:val="single" w:sz="6" w:space="0" w:color="auto"/>
              <w:bottom w:val="single" w:sz="36" w:space="0" w:color="auto"/>
            </w:tcBorders>
          </w:tcPr>
          <w:p>
            <w:pPr>
              <w:jc w:val="center"/>
              <w:rPr>
                <w:b/>
              </w:rPr>
            </w:pPr>
            <w:r>
              <w:rPr>
                <w:b/>
                <w:sz w:val="28"/>
              </w:rPr>
              <w:lastRenderedPageBreak/>
              <w:br w:type="page"/>
            </w:r>
          </w:p>
          <w:p>
            <w:pPr>
              <w:pStyle w:val="Titre1"/>
              <w:rPr>
                <w:rFonts w:cs="Mangal"/>
                <w:sz w:val="32"/>
                <w:szCs w:val="32"/>
              </w:rPr>
            </w:pPr>
            <w:r>
              <w:rPr>
                <w:rFonts w:cs="Mangal"/>
                <w:sz w:val="32"/>
                <w:szCs w:val="32"/>
              </w:rPr>
              <w:t>LANGUE EN SITUATION APPLIQUEE A</w:t>
            </w:r>
          </w:p>
          <w:p>
            <w:pPr>
              <w:pStyle w:val="Titre1"/>
              <w:rPr>
                <w:rFonts w:cs="Mangal"/>
                <w:sz w:val="32"/>
                <w:szCs w:val="32"/>
              </w:rPr>
            </w:pPr>
            <w:r>
              <w:rPr>
                <w:rFonts w:cs="Mangal"/>
                <w:sz w:val="32"/>
                <w:szCs w:val="32"/>
              </w:rPr>
              <w:t xml:space="preserve"> L’ENSEIGNEMENT SUPERIEUR - UE 6</w:t>
            </w:r>
          </w:p>
          <w:p/>
          <w:p>
            <w:pPr>
              <w:pStyle w:val="Titre2"/>
              <w:spacing w:after="60"/>
              <w:jc w:val="center"/>
              <w:rPr>
                <w:rFonts w:cs="Mangal"/>
              </w:rPr>
            </w:pPr>
            <w:r>
              <w:rPr>
                <w:rFonts w:cs="Mangal"/>
              </w:rPr>
              <w:t>ENSEIGNEMENT SUPERIEUR DE TYPE COURT</w:t>
            </w:r>
          </w:p>
          <w:p>
            <w:pPr>
              <w:pStyle w:val="Titre2"/>
              <w:jc w:val="center"/>
              <w:rPr>
                <w:b w:val="0"/>
                <w:sz w:val="28"/>
              </w:rPr>
            </w:pPr>
          </w:p>
        </w:tc>
      </w:tr>
    </w:tbl>
    <w:p/>
    <w:p>
      <w:pPr>
        <w:rPr>
          <w:color w:val="99CC00"/>
        </w:rPr>
      </w:pPr>
    </w:p>
    <w:p/>
    <w:p>
      <w:pPr>
        <w:ind w:left="426" w:hanging="426"/>
        <w:rPr>
          <w:b/>
          <w:sz w:val="22"/>
        </w:rPr>
      </w:pPr>
      <w:r>
        <w:rPr>
          <w:b/>
          <w:sz w:val="22"/>
        </w:rPr>
        <w:t>1.</w:t>
      </w:r>
      <w:r>
        <w:rPr>
          <w:b/>
          <w:sz w:val="22"/>
        </w:rPr>
        <w:tab/>
        <w:t>FINALITES DE L’UNITE D'ENSEIGNEMENT</w:t>
      </w:r>
    </w:p>
    <w:p/>
    <w:p>
      <w:pPr>
        <w:ind w:left="993" w:hanging="567"/>
        <w:rPr>
          <w:b/>
          <w:sz w:val="22"/>
        </w:rPr>
      </w:pPr>
      <w:r>
        <w:rPr>
          <w:b/>
          <w:sz w:val="22"/>
        </w:rPr>
        <w:t>1.1.</w:t>
      </w:r>
      <w:r>
        <w:rPr>
          <w:b/>
          <w:sz w:val="22"/>
        </w:rPr>
        <w:tab/>
        <w:t>Finalités générales</w:t>
      </w:r>
    </w:p>
    <w:p>
      <w:pPr>
        <w:rPr>
          <w:sz w:val="22"/>
        </w:rPr>
      </w:pPr>
    </w:p>
    <w:p>
      <w:pPr>
        <w:ind w:left="426"/>
        <w:jc w:val="both"/>
        <w:rPr>
          <w:sz w:val="22"/>
        </w:rPr>
      </w:pPr>
      <w:r>
        <w:rPr>
          <w:sz w:val="22"/>
        </w:rPr>
        <w:t>Conformément à l’article 7 du décret de la Communauté française du 16 avril 1991 organisant l’enseignement de promotion sociale, cette unité d'enseignement doit :</w:t>
      </w:r>
    </w:p>
    <w:p>
      <w:pPr>
        <w:jc w:val="both"/>
        <w:rPr>
          <w:sz w:val="22"/>
        </w:rPr>
      </w:pPr>
    </w:p>
    <w:p>
      <w:pPr>
        <w:numPr>
          <w:ilvl w:val="0"/>
          <w:numId w:val="1"/>
        </w:numPr>
        <w:ind w:left="993" w:hanging="284"/>
        <w:jc w:val="both"/>
        <w:rPr>
          <w:sz w:val="22"/>
        </w:rPr>
      </w:pPr>
      <w:r>
        <w:rPr>
          <w:sz w:val="22"/>
        </w:rPr>
        <w:t>concourir à l’épanouissement individuel en promouvant une meilleure insertion professionnelle, sociale, culturelle et scolaire ;</w:t>
      </w:r>
    </w:p>
    <w:p>
      <w:pPr>
        <w:numPr>
          <w:ilvl w:val="12"/>
          <w:numId w:val="0"/>
        </w:numPr>
        <w:ind w:left="1134" w:hanging="283"/>
        <w:jc w:val="both"/>
        <w:rPr>
          <w:sz w:val="22"/>
        </w:rPr>
      </w:pPr>
    </w:p>
    <w:p>
      <w:pPr>
        <w:numPr>
          <w:ilvl w:val="0"/>
          <w:numId w:val="1"/>
        </w:numPr>
        <w:ind w:left="993" w:hanging="284"/>
        <w:jc w:val="both"/>
        <w:rPr>
          <w:sz w:val="22"/>
        </w:rPr>
      </w:pPr>
      <w:r>
        <w:rPr>
          <w:sz w:val="22"/>
        </w:rPr>
        <w:t>répondre aux besoins et demandes en formation émanant des entreprises, des administrations, de l’enseignement et d’une manière générale des milieux socio-économiques et culturels.</w:t>
      </w:r>
    </w:p>
    <w:p>
      <w:pPr>
        <w:rPr>
          <w:sz w:val="22"/>
        </w:rPr>
      </w:pPr>
    </w:p>
    <w:p>
      <w:pPr>
        <w:ind w:left="993" w:hanging="567"/>
        <w:rPr>
          <w:b/>
          <w:sz w:val="22"/>
        </w:rPr>
      </w:pPr>
      <w:r>
        <w:rPr>
          <w:b/>
          <w:sz w:val="22"/>
        </w:rPr>
        <w:t>1.2.</w:t>
      </w:r>
      <w:r>
        <w:rPr>
          <w:b/>
          <w:sz w:val="22"/>
        </w:rPr>
        <w:tab/>
        <w:t>Finalités particulières</w:t>
      </w:r>
    </w:p>
    <w:p>
      <w:pPr>
        <w:rPr>
          <w:sz w:val="22"/>
        </w:rPr>
      </w:pPr>
    </w:p>
    <w:p>
      <w:pPr>
        <w:ind w:left="426"/>
        <w:jc w:val="both"/>
        <w:rPr>
          <w:sz w:val="22"/>
        </w:rPr>
      </w:pPr>
      <w:r>
        <w:rPr>
          <w:sz w:val="22"/>
        </w:rPr>
        <w:t>L’unité d'enseignement vise à amener l’étudiant à :</w:t>
      </w:r>
    </w:p>
    <w:p>
      <w:pPr>
        <w:ind w:left="851"/>
        <w:jc w:val="both"/>
        <w:rPr>
          <w:sz w:val="22"/>
        </w:rPr>
      </w:pPr>
    </w:p>
    <w:p>
      <w:pPr>
        <w:numPr>
          <w:ilvl w:val="0"/>
          <w:numId w:val="1"/>
        </w:numPr>
        <w:ind w:left="993" w:hanging="284"/>
        <w:jc w:val="both"/>
        <w:rPr>
          <w:sz w:val="22"/>
        </w:rPr>
      </w:pPr>
      <w:r>
        <w:rPr>
          <w:sz w:val="22"/>
        </w:rPr>
        <w:t xml:space="preserve">la compréhension et l’utilisation active et spontanée d'une langue de communication orale et écrite nuancée, utilisée dans des situations diversifiées de </w:t>
      </w:r>
      <w:r>
        <w:rPr>
          <w:b/>
          <w:sz w:val="22"/>
        </w:rPr>
        <w:t>la vie professionnelle liées au domaine considéré</w:t>
      </w:r>
      <w:r>
        <w:rPr>
          <w:sz w:val="22"/>
        </w:rPr>
        <w:t xml:space="preserve"> (économique, informatique, technique, scientifique, artistique, etc.) en relation avec les notions, les fonctions et les champs thématiques abordés,</w:t>
      </w:r>
    </w:p>
    <w:p>
      <w:pPr>
        <w:ind w:left="851"/>
        <w:jc w:val="both"/>
        <w:rPr>
          <w:i/>
          <w:color w:val="FF0000"/>
          <w:sz w:val="22"/>
        </w:rPr>
      </w:pPr>
    </w:p>
    <w:p>
      <w:pPr>
        <w:numPr>
          <w:ilvl w:val="0"/>
          <w:numId w:val="8"/>
        </w:numPr>
        <w:ind w:left="991"/>
        <w:jc w:val="both"/>
        <w:rPr>
          <w:sz w:val="22"/>
        </w:rPr>
      </w:pPr>
      <w:r>
        <w:rPr>
          <w:sz w:val="22"/>
        </w:rPr>
        <w:t>une sensibilisation aux différents registres de langage, en fonction des interlocuteurs et des situations,</w:t>
      </w:r>
    </w:p>
    <w:p>
      <w:pPr>
        <w:ind w:left="851"/>
        <w:jc w:val="both"/>
        <w:rPr>
          <w:i/>
          <w:color w:val="FF0000"/>
          <w:sz w:val="22"/>
        </w:rPr>
      </w:pPr>
    </w:p>
    <w:p>
      <w:pPr>
        <w:numPr>
          <w:ilvl w:val="0"/>
          <w:numId w:val="1"/>
        </w:numPr>
        <w:ind w:left="993" w:hanging="284"/>
        <w:jc w:val="both"/>
        <w:rPr>
          <w:sz w:val="22"/>
        </w:rPr>
      </w:pPr>
      <w:r>
        <w:rPr>
          <w:sz w:val="22"/>
        </w:rPr>
        <w:t>l’utilisation judicieuse de stratégies verbales (de réalisation, de compensation et d'évitement) et non verbales lui permettant de mobiliser et d'équilibrer ses ressources pour répondre aux exigences de la communication et d'exécuter la tâche avec succès.</w:t>
      </w:r>
    </w:p>
    <w:p>
      <w:pPr>
        <w:jc w:val="both"/>
        <w:rPr>
          <w:i/>
          <w:color w:val="8064A2"/>
          <w:sz w:val="22"/>
        </w:rPr>
      </w:pPr>
    </w:p>
    <w:p>
      <w:pPr>
        <w:ind w:left="426"/>
        <w:jc w:val="both"/>
        <w:rPr>
          <w:sz w:val="22"/>
        </w:rPr>
      </w:pPr>
      <w:r>
        <w:rPr>
          <w:sz w:val="22"/>
        </w:rPr>
        <w:t xml:space="preserve">En outre, elle vise à </w:t>
      </w:r>
    </w:p>
    <w:p>
      <w:pPr>
        <w:jc w:val="both"/>
        <w:rPr>
          <w:sz w:val="22"/>
        </w:rPr>
      </w:pPr>
    </w:p>
    <w:p>
      <w:pPr>
        <w:numPr>
          <w:ilvl w:val="0"/>
          <w:numId w:val="1"/>
        </w:numPr>
        <w:ind w:left="993" w:hanging="284"/>
        <w:jc w:val="both"/>
        <w:rPr>
          <w:sz w:val="22"/>
        </w:rPr>
      </w:pPr>
      <w:r>
        <w:rPr>
          <w:sz w:val="22"/>
        </w:rPr>
        <w:t>permettre l’acquisition d’un outil de communication et d’information culturelle ;</w:t>
      </w:r>
    </w:p>
    <w:p>
      <w:pPr>
        <w:ind w:left="709"/>
        <w:jc w:val="both"/>
        <w:rPr>
          <w:sz w:val="22"/>
        </w:rPr>
      </w:pPr>
    </w:p>
    <w:p>
      <w:pPr>
        <w:numPr>
          <w:ilvl w:val="0"/>
          <w:numId w:val="1"/>
        </w:numPr>
        <w:ind w:left="993" w:hanging="284"/>
        <w:jc w:val="both"/>
        <w:rPr>
          <w:sz w:val="22"/>
        </w:rPr>
      </w:pPr>
      <w:r>
        <w:rPr>
          <w:sz w:val="22"/>
        </w:rPr>
        <w:t>favoriser la mobilité internationale et la multiplication des échanges interpersonnels ;</w:t>
      </w:r>
    </w:p>
    <w:p>
      <w:pPr>
        <w:numPr>
          <w:ilvl w:val="12"/>
          <w:numId w:val="0"/>
        </w:numPr>
        <w:jc w:val="both"/>
        <w:rPr>
          <w:sz w:val="22"/>
        </w:rPr>
      </w:pPr>
    </w:p>
    <w:p>
      <w:pPr>
        <w:numPr>
          <w:ilvl w:val="0"/>
          <w:numId w:val="1"/>
        </w:numPr>
        <w:ind w:left="993" w:hanging="284"/>
        <w:jc w:val="both"/>
        <w:rPr>
          <w:sz w:val="22"/>
        </w:rPr>
      </w:pPr>
      <w:r>
        <w:rPr>
          <w:sz w:val="22"/>
        </w:rPr>
        <w:t>initier à d’autres modes de pensée et à d’autres types de culture ;</w:t>
      </w:r>
    </w:p>
    <w:p>
      <w:pPr>
        <w:numPr>
          <w:ilvl w:val="12"/>
          <w:numId w:val="0"/>
        </w:numPr>
        <w:ind w:left="1134" w:hanging="283"/>
        <w:jc w:val="both"/>
        <w:rPr>
          <w:sz w:val="22"/>
        </w:rPr>
      </w:pPr>
    </w:p>
    <w:p>
      <w:pPr>
        <w:numPr>
          <w:ilvl w:val="0"/>
          <w:numId w:val="1"/>
        </w:numPr>
        <w:ind w:left="993" w:hanging="284"/>
        <w:jc w:val="both"/>
        <w:rPr>
          <w:sz w:val="22"/>
        </w:rPr>
      </w:pPr>
      <w:r>
        <w:rPr>
          <w:sz w:val="22"/>
        </w:rPr>
        <w:t>contribuer à l’enrichissement de la personnalité de l’individu et au développement de son sens social ;</w:t>
      </w:r>
    </w:p>
    <w:p>
      <w:pPr>
        <w:numPr>
          <w:ilvl w:val="12"/>
          <w:numId w:val="0"/>
        </w:numPr>
        <w:ind w:left="1134" w:hanging="283"/>
        <w:jc w:val="both"/>
        <w:rPr>
          <w:sz w:val="22"/>
        </w:rPr>
      </w:pPr>
    </w:p>
    <w:p>
      <w:pPr>
        <w:numPr>
          <w:ilvl w:val="0"/>
          <w:numId w:val="1"/>
        </w:numPr>
        <w:ind w:left="993" w:hanging="284"/>
        <w:jc w:val="both"/>
        <w:rPr>
          <w:sz w:val="22"/>
        </w:rPr>
      </w:pPr>
      <w:r>
        <w:rPr>
          <w:sz w:val="22"/>
        </w:rPr>
        <w:t>offrir un outil de formation, de reconversion, de perfectionnement ou de spécialisation professionnelle.</w:t>
      </w:r>
    </w:p>
    <w:p>
      <w:pPr>
        <w:rPr>
          <w:color w:val="FF0000"/>
          <w:sz w:val="22"/>
        </w:rPr>
      </w:pPr>
    </w:p>
    <w:p>
      <w:pPr>
        <w:rPr>
          <w:color w:val="FF0000"/>
          <w:sz w:val="22"/>
        </w:rPr>
      </w:pPr>
    </w:p>
    <w:p>
      <w:pPr>
        <w:rPr>
          <w:color w:val="FF0000"/>
          <w:sz w:val="22"/>
        </w:rPr>
      </w:pPr>
    </w:p>
    <w:p>
      <w:pPr>
        <w:ind w:left="993" w:hanging="567"/>
        <w:rPr>
          <w:b/>
          <w:sz w:val="22"/>
        </w:rPr>
      </w:pPr>
      <w:r>
        <w:rPr>
          <w:b/>
          <w:sz w:val="22"/>
        </w:rPr>
        <w:lastRenderedPageBreak/>
        <w:t>1.3  Correspondance par rapport aux niveaux du C.E.C.R.L.</w:t>
      </w:r>
    </w:p>
    <w:p>
      <w:pPr>
        <w:ind w:left="993" w:hanging="567"/>
        <w:rPr>
          <w:b/>
          <w:sz w:val="22"/>
        </w:rPr>
      </w:pPr>
    </w:p>
    <w:p>
      <w:pPr>
        <w:ind w:left="709" w:hanging="709"/>
        <w:rPr>
          <w:sz w:val="22"/>
        </w:rPr>
      </w:pPr>
      <w:r>
        <w:rPr>
          <w:b/>
          <w:sz w:val="22"/>
        </w:rPr>
        <w:tab/>
      </w:r>
      <w:r>
        <w:rPr>
          <w:sz w:val="22"/>
        </w:rPr>
        <w:t xml:space="preserve">A l’issue de l’unité d'enseignement, l’étudiant qui atteint le seuil de réussite dans les cinq compétences se situe au niveau : </w:t>
      </w:r>
    </w:p>
    <w:p>
      <w:pPr>
        <w:rPr>
          <w:b/>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38"/>
      </w:tblGrid>
      <w:tr>
        <w:trPr>
          <w:jc w:val="center"/>
        </w:trPr>
        <w:tc>
          <w:tcPr>
            <w:tcW w:w="0" w:type="auto"/>
          </w:tcPr>
          <w:p>
            <w:pPr>
              <w:rPr>
                <w:sz w:val="22"/>
              </w:rPr>
            </w:pPr>
            <w:r>
              <w:rPr>
                <w:sz w:val="22"/>
              </w:rPr>
              <w:t>B2.1</w:t>
            </w:r>
          </w:p>
        </w:tc>
        <w:tc>
          <w:tcPr>
            <w:tcW w:w="0" w:type="auto"/>
            <w:shd w:val="clear" w:color="auto" w:fill="7F7F7F" w:themeFill="text1" w:themeFillTint="80"/>
          </w:tcPr>
          <w:p>
            <w:pPr>
              <w:rPr>
                <w:b/>
                <w:sz w:val="22"/>
              </w:rPr>
            </w:pPr>
            <w:r>
              <w:rPr>
                <w:b/>
                <w:sz w:val="22"/>
              </w:rPr>
              <w:t>B2.2</w:t>
            </w:r>
          </w:p>
        </w:tc>
      </w:tr>
      <w:tr>
        <w:trPr>
          <w:jc w:val="center"/>
        </w:trPr>
        <w:tc>
          <w:tcPr>
            <w:tcW w:w="0" w:type="auto"/>
            <w:gridSpan w:val="2"/>
            <w:shd w:val="clear" w:color="auto" w:fill="7F7F7F" w:themeFill="text1" w:themeFillTint="80"/>
          </w:tcPr>
          <w:p>
            <w:pPr>
              <w:jc w:val="center"/>
              <w:rPr>
                <w:b/>
                <w:sz w:val="22"/>
              </w:rPr>
            </w:pPr>
            <w:r>
              <w:rPr>
                <w:b/>
                <w:sz w:val="22"/>
              </w:rPr>
              <w:t>B2</w:t>
            </w:r>
          </w:p>
        </w:tc>
      </w:tr>
    </w:tbl>
    <w:p>
      <w:pPr>
        <w:ind w:left="426" w:hanging="426"/>
        <w:rPr>
          <w:b/>
          <w:sz w:val="22"/>
        </w:rPr>
      </w:pPr>
    </w:p>
    <w:p>
      <w:pPr>
        <w:ind w:left="1276" w:hanging="567"/>
        <w:jc w:val="both"/>
        <w:rPr>
          <w:sz w:val="22"/>
        </w:rPr>
      </w:pPr>
      <w:r>
        <w:rPr>
          <w:sz w:val="22"/>
        </w:rPr>
        <w:t>N.B : Le positionnement par rapport au C.E.C.R.L. porte exclusivement sur un niveau général de connaissance de la langue et ne reflète pas toutes les spécificités des acquis d’apprentissage propres à cette unité d’enseignement.</w:t>
      </w:r>
    </w:p>
    <w:p>
      <w:pPr>
        <w:ind w:left="426" w:hanging="426"/>
        <w:rPr>
          <w:b/>
          <w:sz w:val="22"/>
        </w:rPr>
      </w:pPr>
    </w:p>
    <w:p>
      <w:pPr>
        <w:ind w:left="426" w:hanging="426"/>
        <w:rPr>
          <w:b/>
          <w:sz w:val="22"/>
        </w:rPr>
      </w:pPr>
    </w:p>
    <w:p>
      <w:pPr>
        <w:ind w:left="426" w:hanging="426"/>
        <w:rPr>
          <w:b/>
          <w:sz w:val="22"/>
        </w:rPr>
      </w:pPr>
      <w:r>
        <w:rPr>
          <w:b/>
          <w:sz w:val="22"/>
        </w:rPr>
        <w:t>2. CAPACITES PREALABLES REQUISES</w:t>
      </w:r>
    </w:p>
    <w:p>
      <w:pPr>
        <w:numPr>
          <w:ilvl w:val="12"/>
          <w:numId w:val="0"/>
        </w:numPr>
        <w:ind w:left="426"/>
        <w:jc w:val="both"/>
        <w:rPr>
          <w:rFonts w:cs="Mangal"/>
          <w:sz w:val="22"/>
          <w:szCs w:val="22"/>
        </w:rPr>
      </w:pPr>
    </w:p>
    <w:p>
      <w:pPr>
        <w:rPr>
          <w:sz w:val="22"/>
        </w:rPr>
      </w:pPr>
    </w:p>
    <w:p>
      <w:pPr>
        <w:numPr>
          <w:ilvl w:val="1"/>
          <w:numId w:val="9"/>
        </w:numPr>
        <w:overflowPunct/>
        <w:adjustRightInd/>
        <w:textAlignment w:val="auto"/>
        <w:rPr>
          <w:rFonts w:cs="Mangal"/>
          <w:b/>
          <w:bCs/>
          <w:sz w:val="22"/>
          <w:szCs w:val="22"/>
        </w:rPr>
      </w:pPr>
      <w:r>
        <w:rPr>
          <w:b/>
        </w:rPr>
        <w:t>Capacités</w:t>
      </w:r>
    </w:p>
    <w:p>
      <w:pPr>
        <w:numPr>
          <w:ilvl w:val="12"/>
          <w:numId w:val="0"/>
        </w:numPr>
        <w:ind w:left="426"/>
        <w:jc w:val="both"/>
        <w:rPr>
          <w:rFonts w:cs="Mangal"/>
          <w:sz w:val="22"/>
          <w:szCs w:val="22"/>
        </w:rPr>
      </w:pPr>
    </w:p>
    <w:p>
      <w:pPr>
        <w:suppressAutoHyphens/>
        <w:overflowPunct/>
        <w:autoSpaceDE/>
        <w:autoSpaceDN/>
        <w:adjustRightInd/>
        <w:ind w:left="540"/>
        <w:jc w:val="both"/>
        <w:textAlignment w:val="auto"/>
        <w:rPr>
          <w:sz w:val="22"/>
          <w:szCs w:val="22"/>
        </w:rPr>
      </w:pPr>
      <w:r>
        <w:rPr>
          <w:sz w:val="22"/>
          <w:szCs w:val="22"/>
        </w:rPr>
        <w:t xml:space="preserve">Maîtriser les acquis d’apprentissage de l’unité d’enseignement « Langue en situation appliquée à l’enseignement supérieur – UE 5 », à savoir la compréhension et l’utilisation active et spontanée d'une langue de communication orale et écrite, utilisée dans des situations diversifiées de </w:t>
      </w:r>
      <w:r>
        <w:rPr>
          <w:b/>
          <w:sz w:val="22"/>
          <w:szCs w:val="22"/>
        </w:rPr>
        <w:t>la vie professionnelle liées au domaine considéré</w:t>
      </w:r>
      <w:r>
        <w:rPr>
          <w:sz w:val="22"/>
          <w:szCs w:val="22"/>
        </w:rPr>
        <w:t xml:space="preserve"> (économique, informatique, technique, scientifique, artistique, etc.), en relation avec les notions, les fonctions et les champs thématiques abordés.</w:t>
      </w:r>
    </w:p>
    <w:p>
      <w:pPr>
        <w:jc w:val="both"/>
        <w:rPr>
          <w:sz w:val="22"/>
          <w:szCs w:val="22"/>
        </w:rPr>
      </w:pPr>
    </w:p>
    <w:p>
      <w:pPr>
        <w:suppressAutoHyphens/>
        <w:overflowPunct/>
        <w:autoSpaceDE/>
        <w:autoSpaceDN/>
        <w:adjustRightInd/>
        <w:ind w:left="540"/>
        <w:jc w:val="both"/>
        <w:textAlignment w:val="auto"/>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numPr>
          <w:ilvl w:val="0"/>
          <w:numId w:val="2"/>
        </w:numPr>
        <w:tabs>
          <w:tab w:val="clear" w:pos="1544"/>
          <w:tab w:val="num" w:pos="1276"/>
        </w:tabs>
        <w:spacing w:before="120"/>
        <w:ind w:left="1276"/>
        <w:jc w:val="both"/>
        <w:rPr>
          <w:sz w:val="22"/>
          <w:szCs w:val="22"/>
        </w:rPr>
      </w:pPr>
      <w:r>
        <w:rPr>
          <w:sz w:val="22"/>
          <w:szCs w:val="22"/>
        </w:rPr>
        <w:t>comprendre un message authentique et actualisé, relatif à une situation de la vie professionnelle liée au domaine considéré (économique, informatique, technique, scientifique, artistique, etc.), à partir d’un support audio ou vidéo ;</w:t>
      </w:r>
    </w:p>
    <w:p>
      <w:pPr>
        <w:jc w:val="both"/>
        <w:rPr>
          <w:rFonts w:cs="Mangal"/>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t>comprendre un message écrit authentique et actualisé utilisé dans le cadre d'une situation de la vie professionnelle liée au domaine considéré (économique, informatique, technique, scientifique, artistique, etc.) ;</w:t>
      </w:r>
    </w:p>
    <w:p>
      <w:pPr>
        <w:jc w:val="both"/>
        <w:rPr>
          <w:i/>
          <w:iCs/>
          <w:sz w:val="22"/>
          <w:szCs w:val="22"/>
        </w:rPr>
      </w:pPr>
    </w:p>
    <w:p>
      <w:pPr>
        <w:numPr>
          <w:ilvl w:val="0"/>
          <w:numId w:val="40"/>
        </w:numPr>
        <w:ind w:left="993" w:hanging="284"/>
        <w:jc w:val="both"/>
        <w:rPr>
          <w:sz w:val="22"/>
          <w:szCs w:val="22"/>
        </w:rPr>
      </w:pPr>
      <w:r>
        <w:rPr>
          <w:sz w:val="22"/>
          <w:szCs w:val="22"/>
        </w:rPr>
        <w:t>en interaction orale :</w:t>
      </w:r>
    </w:p>
    <w:p>
      <w:pPr>
        <w:jc w:val="both"/>
        <w:rPr>
          <w:i/>
          <w:iCs/>
          <w:sz w:val="22"/>
          <w:szCs w:val="22"/>
        </w:rPr>
      </w:pPr>
    </w:p>
    <w:p>
      <w:pPr>
        <w:ind w:left="720"/>
        <w:jc w:val="both"/>
        <w:rPr>
          <w:b/>
          <w:i/>
          <w:iCs/>
          <w:sz w:val="22"/>
          <w:szCs w:val="22"/>
        </w:rPr>
      </w:pPr>
      <w:r>
        <w:rPr>
          <w:i/>
          <w:iCs/>
          <w:sz w:val="22"/>
          <w:szCs w:val="22"/>
        </w:rPr>
        <w:t>dans une simulation de situation professionnelle</w:t>
      </w:r>
      <w:r>
        <w:rPr>
          <w:b/>
          <w:i/>
          <w:iCs/>
          <w:sz w:val="22"/>
          <w:szCs w:val="22"/>
        </w:rPr>
        <w:t>,</w:t>
      </w:r>
    </w:p>
    <w:p>
      <w:pPr>
        <w:numPr>
          <w:ilvl w:val="0"/>
          <w:numId w:val="2"/>
        </w:numPr>
        <w:tabs>
          <w:tab w:val="clear" w:pos="1544"/>
          <w:tab w:val="num" w:pos="1276"/>
        </w:tabs>
        <w:spacing w:before="240"/>
        <w:ind w:left="1276"/>
        <w:jc w:val="both"/>
        <w:rPr>
          <w:sz w:val="22"/>
          <w:szCs w:val="22"/>
        </w:rPr>
      </w:pPr>
      <w:r>
        <w:rPr>
          <w:sz w:val="22"/>
          <w:szCs w:val="22"/>
        </w:rPr>
        <w:t>interagir (échanger des idées et des informations, faire des suggestions et réagir à des propositions, exprimer son accord ou son désaccord en argumentant, etc.)  en utilisant des termes et expressions liés au domaine considéré (économique, informatique, technique, scientifique, artistique, etc.),</w:t>
      </w:r>
    </w:p>
    <w:p>
      <w:pPr>
        <w:ind w:left="360"/>
        <w:jc w:val="both"/>
        <w:rPr>
          <w:sz w:val="22"/>
          <w:szCs w:val="22"/>
        </w:rPr>
      </w:pPr>
    </w:p>
    <w:p>
      <w:pPr>
        <w:pStyle w:val="Retraitcorpsdetexte"/>
        <w:ind w:left="709"/>
        <w:rPr>
          <w:i/>
          <w:color w:val="auto"/>
          <w:szCs w:val="22"/>
        </w:rPr>
      </w:pPr>
      <w:r>
        <w:rPr>
          <w:i/>
          <w:color w:val="auto"/>
          <w:szCs w:val="22"/>
        </w:rPr>
        <w:t>en intervenant de manière spontanée,</w:t>
      </w:r>
    </w:p>
    <w:p>
      <w:pPr>
        <w:pStyle w:val="Retraitcorpsdetexte"/>
        <w:ind w:left="709"/>
        <w:rPr>
          <w:i/>
          <w:color w:val="auto"/>
          <w:szCs w:val="22"/>
        </w:rPr>
      </w:pPr>
      <w:r>
        <w:rPr>
          <w:i/>
          <w:color w:val="auto"/>
          <w:szCs w:val="22"/>
        </w:rPr>
        <w:t xml:space="preserve">en respectant la morphosyntaxe, </w:t>
      </w:r>
    </w:p>
    <w:p>
      <w:pPr>
        <w:pStyle w:val="Retraitcorpsdetexte"/>
        <w:ind w:left="709"/>
        <w:rPr>
          <w:i/>
          <w:color w:val="auto"/>
          <w:szCs w:val="22"/>
        </w:rPr>
      </w:pPr>
      <w:r>
        <w:rPr>
          <w:i/>
          <w:color w:val="auto"/>
          <w:szCs w:val="22"/>
        </w:rPr>
        <w:t xml:space="preserve">avec une prononciation, une intonation et une accentuation clairement intelligibles. </w:t>
      </w:r>
    </w:p>
    <w:p>
      <w:pPr>
        <w:jc w:val="both"/>
        <w:rPr>
          <w:i/>
          <w:sz w:val="22"/>
          <w:szCs w:val="22"/>
        </w:rPr>
      </w:pPr>
    </w:p>
    <w:p>
      <w:pPr>
        <w:numPr>
          <w:ilvl w:val="0"/>
          <w:numId w:val="1"/>
        </w:numPr>
        <w:ind w:left="993" w:hanging="284"/>
        <w:jc w:val="both"/>
        <w:rPr>
          <w:sz w:val="22"/>
          <w:szCs w:val="22"/>
        </w:rPr>
      </w:pPr>
      <w:r>
        <w:rPr>
          <w:sz w:val="22"/>
          <w:szCs w:val="22"/>
        </w:rPr>
        <w:t>en production orale en continu :</w:t>
      </w:r>
    </w:p>
    <w:p>
      <w:pPr>
        <w:pStyle w:val="Retraitcorpsdetexte"/>
        <w:spacing w:before="240"/>
        <w:ind w:left="0"/>
        <w:rPr>
          <w:i/>
          <w:color w:val="auto"/>
          <w:szCs w:val="22"/>
        </w:rPr>
      </w:pPr>
      <w:r>
        <w:rPr>
          <w:color w:val="auto"/>
          <w:szCs w:val="22"/>
        </w:rPr>
        <w:t xml:space="preserve">            </w:t>
      </w:r>
      <w:r>
        <w:rPr>
          <w:i/>
          <w:color w:val="auto"/>
          <w:szCs w:val="22"/>
        </w:rPr>
        <w:t>en s’affranchissant d’un éventuel support écrit,</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lastRenderedPageBreak/>
        <w:t xml:space="preserve">faire un exposé structuré sur un sujet relatif à la vie professionnelle du domaine considéré, </w:t>
      </w:r>
    </w:p>
    <w:p>
      <w:pPr>
        <w:pStyle w:val="Retraitcorpsdetexte"/>
        <w:spacing w:before="240"/>
        <w:ind w:left="720"/>
        <w:rPr>
          <w:i/>
          <w:color w:val="auto"/>
          <w:szCs w:val="22"/>
        </w:rPr>
      </w:pPr>
      <w:r>
        <w:rPr>
          <w:i/>
          <w:color w:val="auto"/>
          <w:szCs w:val="22"/>
        </w:rPr>
        <w:t xml:space="preserve">en respectant la morphosyntaxe, avec une prononciation, une intonation et une accentuation clairement intelligibles. </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pStyle w:val="Retraitcorpsdetexte"/>
        <w:spacing w:before="240"/>
        <w:ind w:left="720"/>
        <w:rPr>
          <w:i/>
          <w:iCs/>
          <w:color w:val="auto"/>
          <w:szCs w:val="22"/>
          <w:lang w:eastAsia="fr-BE"/>
        </w:rPr>
      </w:pPr>
      <w:r>
        <w:rPr>
          <w:i/>
          <w:color w:val="auto"/>
          <w:szCs w:val="22"/>
        </w:rPr>
        <w:t>en utilisant des connecteurs logiques et chronologiques et</w:t>
      </w:r>
      <w:r>
        <w:rPr>
          <w:i/>
          <w:iCs/>
          <w:color w:val="auto"/>
          <w:szCs w:val="22"/>
          <w:lang w:eastAsia="fr-BE"/>
        </w:rPr>
        <w:t xml:space="preserve"> en respectant la morphosyntaxe,</w:t>
      </w:r>
    </w:p>
    <w:p>
      <w:pPr>
        <w:numPr>
          <w:ilvl w:val="0"/>
          <w:numId w:val="2"/>
        </w:numPr>
        <w:tabs>
          <w:tab w:val="clear" w:pos="1544"/>
          <w:tab w:val="num" w:pos="1276"/>
        </w:tabs>
        <w:ind w:left="1276"/>
        <w:jc w:val="both"/>
        <w:rPr>
          <w:rFonts w:cs="Mangal"/>
          <w:b/>
          <w:bCs/>
          <w:sz w:val="22"/>
          <w:szCs w:val="22"/>
        </w:rPr>
      </w:pPr>
      <w:r>
        <w:rPr>
          <w:sz w:val="22"/>
          <w:szCs w:val="22"/>
        </w:rPr>
        <w:t>produire un texte cohérent sur un sujet d'ordre professionnel en utilisant le vocabulaire spécifique au domaine considéré (économique, informatique, technique, scientifique, artistique, etc.) en donnant son opinion et en argumentant.</w:t>
      </w:r>
    </w:p>
    <w:p>
      <w:pPr>
        <w:numPr>
          <w:ilvl w:val="12"/>
          <w:numId w:val="0"/>
        </w:numPr>
        <w:tabs>
          <w:tab w:val="left" w:pos="-720"/>
        </w:tabs>
        <w:ind w:left="851" w:hanging="426"/>
        <w:jc w:val="both"/>
        <w:rPr>
          <w:rFonts w:cs="Mangal"/>
          <w:b/>
          <w:bCs/>
          <w:sz w:val="22"/>
          <w:szCs w:val="22"/>
        </w:rPr>
      </w:pPr>
    </w:p>
    <w:p>
      <w:pPr>
        <w:numPr>
          <w:ilvl w:val="12"/>
          <w:numId w:val="0"/>
        </w:numPr>
        <w:tabs>
          <w:tab w:val="left" w:pos="-720"/>
        </w:tabs>
        <w:ind w:left="851" w:hanging="426"/>
        <w:jc w:val="both"/>
        <w:rPr>
          <w:rFonts w:cs="Mangal"/>
          <w:b/>
          <w:bCs/>
          <w:sz w:val="22"/>
          <w:szCs w:val="22"/>
        </w:rPr>
      </w:pPr>
      <w:r>
        <w:rPr>
          <w:rFonts w:cs="Mangal"/>
          <w:b/>
          <w:bCs/>
          <w:sz w:val="22"/>
          <w:szCs w:val="22"/>
        </w:rPr>
        <w:t>2.2.</w:t>
      </w:r>
      <w:r>
        <w:rPr>
          <w:rFonts w:cs="Mangal"/>
          <w:b/>
          <w:bCs/>
          <w:sz w:val="22"/>
          <w:szCs w:val="22"/>
        </w:rPr>
        <w:tab/>
        <w:t>Titre pouvant en tenir lieu</w:t>
      </w:r>
    </w:p>
    <w:p>
      <w:pPr>
        <w:numPr>
          <w:ilvl w:val="12"/>
          <w:numId w:val="0"/>
        </w:numPr>
        <w:tabs>
          <w:tab w:val="left" w:pos="-720"/>
        </w:tabs>
        <w:ind w:left="851" w:hanging="426"/>
        <w:jc w:val="both"/>
        <w:rPr>
          <w:rFonts w:cs="Mangal"/>
          <w:sz w:val="22"/>
          <w:szCs w:val="22"/>
        </w:rPr>
      </w:pPr>
    </w:p>
    <w:p>
      <w:pPr>
        <w:ind w:left="360"/>
        <w:jc w:val="both"/>
        <w:rPr>
          <w:sz w:val="22"/>
        </w:rPr>
      </w:pPr>
      <w:r>
        <w:rPr>
          <w:sz w:val="22"/>
        </w:rPr>
        <w:t xml:space="preserve">Attestation de réussite de l’unité d'enseignement “ Langue en situation appliquée à l’enseignement supérieur – UE </w:t>
      </w:r>
      <w:smartTag w:uri="urn:schemas-microsoft-com:office:smarttags" w:element="metricconverter">
        <w:smartTagPr>
          <w:attr w:name="ProductID" w:val="5”"/>
        </w:smartTagPr>
        <w:r>
          <w:rPr>
            <w:sz w:val="22"/>
          </w:rPr>
          <w:t>5”</w:t>
        </w:r>
      </w:smartTag>
      <w:r>
        <w:rPr>
          <w:sz w:val="22"/>
        </w:rPr>
        <w:t xml:space="preserve"> classée dans l’enseignement supérieur de type court.</w:t>
      </w:r>
    </w:p>
    <w:p>
      <w:pPr>
        <w:suppressAutoHyphens/>
        <w:jc w:val="both"/>
        <w:rPr>
          <w:rFonts w:cs="Mangal"/>
          <w:spacing w:val="-2"/>
          <w:sz w:val="22"/>
          <w:szCs w:val="22"/>
        </w:rPr>
      </w:pPr>
    </w:p>
    <w:p>
      <w:pPr>
        <w:suppressAutoHyphens/>
        <w:jc w:val="both"/>
        <w:rPr>
          <w:rFonts w:cs="Mangal"/>
          <w:spacing w:val="-2"/>
          <w:sz w:val="22"/>
          <w:szCs w:val="22"/>
        </w:rPr>
      </w:pPr>
    </w:p>
    <w:p>
      <w:pPr>
        <w:ind w:left="426" w:hanging="426"/>
        <w:rPr>
          <w:b/>
          <w:sz w:val="22"/>
        </w:rPr>
      </w:pPr>
      <w:r>
        <w:rPr>
          <w:b/>
          <w:sz w:val="22"/>
        </w:rPr>
        <w:t>3.</w:t>
      </w:r>
      <w:r>
        <w:rPr>
          <w:b/>
          <w:sz w:val="22"/>
        </w:rPr>
        <w:tab/>
        <w:t>ACQUIS D'APPRENTISSAGE</w:t>
      </w:r>
    </w:p>
    <w:p>
      <w:pPr>
        <w:rPr>
          <w:sz w:val="22"/>
        </w:rPr>
      </w:pPr>
    </w:p>
    <w:p>
      <w:pPr>
        <w:spacing w:before="120"/>
        <w:ind w:left="540"/>
        <w:jc w:val="both"/>
        <w:rPr>
          <w:sz w:val="22"/>
          <w:szCs w:val="22"/>
        </w:rPr>
      </w:pPr>
      <w:r>
        <w:rPr>
          <w:b/>
          <w:sz w:val="22"/>
          <w:szCs w:val="22"/>
        </w:rPr>
        <w:t>Pour atteindre le seuil de réussite</w:t>
      </w:r>
      <w:r>
        <w:rPr>
          <w:sz w:val="22"/>
          <w:szCs w:val="22"/>
        </w:rPr>
        <w:t xml:space="preserve">, l'étudiant sera capable d'exercer les compétences suivantes : </w:t>
      </w:r>
    </w:p>
    <w:p>
      <w:pPr>
        <w:ind w:left="426"/>
        <w:jc w:val="both"/>
        <w:rPr>
          <w:sz w:val="22"/>
          <w:szCs w:val="22"/>
        </w:rPr>
      </w:pPr>
    </w:p>
    <w:p>
      <w:pPr>
        <w:suppressAutoHyphens/>
        <w:overflowPunct/>
        <w:autoSpaceDE/>
        <w:autoSpaceDN/>
        <w:adjustRightInd/>
        <w:ind w:left="540"/>
        <w:jc w:val="both"/>
        <w:textAlignment w:val="auto"/>
        <w:rPr>
          <w:sz w:val="22"/>
          <w:szCs w:val="22"/>
        </w:rPr>
      </w:pPr>
      <w:r>
        <w:rPr>
          <w:sz w:val="22"/>
          <w:szCs w:val="22"/>
        </w:rPr>
        <w:t xml:space="preserve">la compréhension et l’utilisation active et spontanée d'une langue de communication orale et écrite nuancée, utilisée dans des situations diversifiées de </w:t>
      </w:r>
      <w:r>
        <w:rPr>
          <w:b/>
          <w:sz w:val="22"/>
          <w:szCs w:val="22"/>
        </w:rPr>
        <w:t>la vie professionnelle liées au domaine considéré</w:t>
      </w:r>
      <w:r>
        <w:rPr>
          <w:sz w:val="22"/>
          <w:szCs w:val="22"/>
        </w:rPr>
        <w:t xml:space="preserve"> (économique, informatique, technique, scientifique, artistique, etc.), en relation avec les notions, les fonctions et les champs thématiques abordés.</w:t>
      </w:r>
    </w:p>
    <w:p>
      <w:pPr>
        <w:jc w:val="both"/>
        <w:rPr>
          <w:sz w:val="22"/>
          <w:szCs w:val="22"/>
        </w:rPr>
      </w:pPr>
    </w:p>
    <w:p>
      <w:pPr>
        <w:ind w:left="540"/>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numPr>
          <w:ilvl w:val="0"/>
          <w:numId w:val="2"/>
        </w:numPr>
        <w:tabs>
          <w:tab w:val="clear" w:pos="1544"/>
          <w:tab w:val="num" w:pos="1276"/>
        </w:tabs>
        <w:spacing w:before="120"/>
        <w:ind w:left="1276"/>
        <w:jc w:val="both"/>
        <w:rPr>
          <w:sz w:val="22"/>
          <w:szCs w:val="22"/>
        </w:rPr>
      </w:pPr>
      <w:r>
        <w:rPr>
          <w:sz w:val="22"/>
          <w:szCs w:val="22"/>
        </w:rPr>
        <w:t>comprendre un message authentique et actualisé relatif à une situation de la vie professionnelle liée au domaine considéré (économique, informatique, technique, scientifique, artistique, etc.), à partir d’un support audio ou vidéo ;</w:t>
      </w:r>
    </w:p>
    <w:p>
      <w:pPr>
        <w:jc w:val="both"/>
        <w:rPr>
          <w:rFonts w:cs="Mangal"/>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t>comprendre un texte de type argumentatif, authentique et actualisé, lié au domaine considéré (économique, informatique, technique, scientifique, artistique, etc.) ;</w:t>
      </w:r>
    </w:p>
    <w:p>
      <w:pPr>
        <w:jc w:val="both"/>
        <w:rPr>
          <w:sz w:val="22"/>
          <w:szCs w:val="22"/>
        </w:rPr>
      </w:pPr>
    </w:p>
    <w:p>
      <w:pPr>
        <w:numPr>
          <w:ilvl w:val="0"/>
          <w:numId w:val="1"/>
        </w:numPr>
        <w:ind w:left="993" w:hanging="284"/>
        <w:jc w:val="both"/>
        <w:rPr>
          <w:sz w:val="22"/>
          <w:szCs w:val="22"/>
        </w:rPr>
      </w:pPr>
      <w:r>
        <w:rPr>
          <w:sz w:val="22"/>
          <w:szCs w:val="22"/>
        </w:rPr>
        <w:t>en interaction orale :</w:t>
      </w:r>
    </w:p>
    <w:p>
      <w:pPr>
        <w:ind w:left="720"/>
        <w:jc w:val="both"/>
        <w:rPr>
          <w:i/>
          <w:iCs/>
          <w:sz w:val="22"/>
          <w:szCs w:val="22"/>
        </w:rPr>
      </w:pPr>
    </w:p>
    <w:p>
      <w:pPr>
        <w:ind w:left="720"/>
        <w:jc w:val="both"/>
        <w:rPr>
          <w:b/>
          <w:i/>
          <w:iCs/>
          <w:sz w:val="22"/>
          <w:szCs w:val="22"/>
        </w:rPr>
      </w:pPr>
      <w:r>
        <w:rPr>
          <w:i/>
          <w:iCs/>
          <w:sz w:val="22"/>
          <w:szCs w:val="22"/>
        </w:rPr>
        <w:t>dans une simulation de situation professionnelle</w:t>
      </w:r>
      <w:r>
        <w:rPr>
          <w:b/>
          <w:i/>
          <w:iCs/>
          <w:sz w:val="22"/>
          <w:szCs w:val="22"/>
        </w:rPr>
        <w:t>,</w:t>
      </w:r>
    </w:p>
    <w:p>
      <w:pPr>
        <w:numPr>
          <w:ilvl w:val="0"/>
          <w:numId w:val="2"/>
        </w:numPr>
        <w:tabs>
          <w:tab w:val="clear" w:pos="1544"/>
          <w:tab w:val="num" w:pos="1276"/>
        </w:tabs>
        <w:spacing w:before="240"/>
        <w:ind w:left="1276"/>
        <w:jc w:val="both"/>
        <w:rPr>
          <w:sz w:val="22"/>
          <w:szCs w:val="22"/>
        </w:rPr>
      </w:pPr>
      <w:r>
        <w:rPr>
          <w:sz w:val="22"/>
          <w:szCs w:val="22"/>
        </w:rPr>
        <w:t>interagir avec aisance (échanger des idées et des informations, faire des suggestions et réagir adéquatement aux propos des interlocuteurs, exprimer son accord ou son désaccord en argumentant, etc.)  en utilisant des termes et expressions liés au domaine considéré (économique, informatique, technique, scientifique, artistique, etc.),</w:t>
      </w:r>
    </w:p>
    <w:p>
      <w:pPr>
        <w:ind w:left="360"/>
        <w:jc w:val="both"/>
        <w:rPr>
          <w:sz w:val="22"/>
          <w:szCs w:val="22"/>
        </w:rPr>
      </w:pPr>
    </w:p>
    <w:p>
      <w:pPr>
        <w:pStyle w:val="Retraitcorpsdetexte"/>
        <w:ind w:left="709"/>
        <w:rPr>
          <w:i/>
          <w:color w:val="auto"/>
          <w:szCs w:val="22"/>
        </w:rPr>
      </w:pPr>
      <w:r>
        <w:rPr>
          <w:i/>
          <w:color w:val="auto"/>
          <w:szCs w:val="22"/>
        </w:rPr>
        <w:t>en intervenant de manière spontanée,</w:t>
      </w:r>
    </w:p>
    <w:p>
      <w:pPr>
        <w:pStyle w:val="Retraitcorpsdetexte"/>
        <w:ind w:left="709"/>
        <w:rPr>
          <w:i/>
          <w:color w:val="auto"/>
          <w:szCs w:val="22"/>
        </w:rPr>
      </w:pPr>
      <w:r>
        <w:rPr>
          <w:i/>
          <w:color w:val="auto"/>
          <w:szCs w:val="22"/>
        </w:rPr>
        <w:t xml:space="preserve">en respectant la morphosyntaxe, </w:t>
      </w:r>
    </w:p>
    <w:p>
      <w:pPr>
        <w:pStyle w:val="Retraitcorpsdetexte"/>
        <w:ind w:left="709"/>
        <w:rPr>
          <w:i/>
          <w:color w:val="auto"/>
          <w:szCs w:val="22"/>
        </w:rPr>
      </w:pPr>
      <w:r>
        <w:rPr>
          <w:i/>
          <w:color w:val="auto"/>
          <w:szCs w:val="22"/>
        </w:rPr>
        <w:t xml:space="preserve">avec une prononciation, une intonation et une accentuation clairement intelligibles. </w:t>
      </w:r>
    </w:p>
    <w:p>
      <w:pPr>
        <w:overflowPunct/>
        <w:autoSpaceDE/>
        <w:autoSpaceDN/>
        <w:adjustRightInd/>
        <w:textAlignment w:val="auto"/>
        <w:rPr>
          <w:i/>
          <w:sz w:val="22"/>
          <w:szCs w:val="22"/>
        </w:rPr>
      </w:pPr>
      <w:r>
        <w:rPr>
          <w:i/>
          <w:sz w:val="22"/>
          <w:szCs w:val="22"/>
        </w:rPr>
        <w:br w:type="page"/>
      </w:r>
    </w:p>
    <w:p>
      <w:pPr>
        <w:numPr>
          <w:ilvl w:val="0"/>
          <w:numId w:val="1"/>
        </w:numPr>
        <w:ind w:left="993" w:hanging="284"/>
        <w:jc w:val="both"/>
        <w:rPr>
          <w:sz w:val="22"/>
          <w:szCs w:val="22"/>
        </w:rPr>
      </w:pPr>
      <w:r>
        <w:rPr>
          <w:sz w:val="22"/>
          <w:szCs w:val="22"/>
        </w:rPr>
        <w:lastRenderedPageBreak/>
        <w:t>en production orale en continu :</w:t>
      </w:r>
    </w:p>
    <w:p>
      <w:pPr>
        <w:pStyle w:val="Retraitcorpsdetexte"/>
        <w:spacing w:before="240"/>
        <w:ind w:left="0"/>
        <w:rPr>
          <w:i/>
          <w:color w:val="auto"/>
          <w:szCs w:val="22"/>
        </w:rPr>
      </w:pPr>
      <w:r>
        <w:rPr>
          <w:color w:val="auto"/>
          <w:szCs w:val="22"/>
        </w:rPr>
        <w:t xml:space="preserve">            </w:t>
      </w:r>
      <w:r>
        <w:rPr>
          <w:i/>
          <w:color w:val="auto"/>
          <w:szCs w:val="22"/>
        </w:rPr>
        <w:t>en s’affranchissant d’un éventuel support écrit,</w:t>
      </w:r>
    </w:p>
    <w:p>
      <w:pPr>
        <w:jc w:val="both"/>
        <w:rPr>
          <w:sz w:val="22"/>
          <w:szCs w:val="22"/>
        </w:rPr>
      </w:pPr>
    </w:p>
    <w:p>
      <w:pPr>
        <w:numPr>
          <w:ilvl w:val="0"/>
          <w:numId w:val="2"/>
        </w:numPr>
        <w:tabs>
          <w:tab w:val="clear" w:pos="1544"/>
          <w:tab w:val="num" w:pos="1276"/>
        </w:tabs>
        <w:spacing w:before="120"/>
        <w:ind w:left="1276"/>
        <w:jc w:val="both"/>
        <w:rPr>
          <w:sz w:val="22"/>
          <w:szCs w:val="22"/>
        </w:rPr>
      </w:pPr>
      <w:r>
        <w:rPr>
          <w:sz w:val="22"/>
          <w:szCs w:val="22"/>
        </w:rPr>
        <w:t xml:space="preserve">faire un exposé structuré ou présenter un projet relatif à la vie professionnelle du domaine considéré, </w:t>
      </w:r>
    </w:p>
    <w:p>
      <w:pPr>
        <w:pStyle w:val="Retraitcorpsdetexte"/>
        <w:spacing w:before="240"/>
        <w:ind w:left="720"/>
        <w:rPr>
          <w:i/>
          <w:color w:val="auto"/>
          <w:szCs w:val="22"/>
        </w:rPr>
      </w:pPr>
      <w:r>
        <w:rPr>
          <w:i/>
          <w:color w:val="auto"/>
          <w:szCs w:val="22"/>
        </w:rPr>
        <w:t xml:space="preserve">en respectant la morphosyntaxe, avec une prononciation, une intonation et une accentuation clairement intelligibles. </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pStyle w:val="Retraitcorpsdetexte"/>
        <w:spacing w:before="240"/>
        <w:ind w:left="720"/>
        <w:rPr>
          <w:i/>
          <w:iCs/>
          <w:color w:val="auto"/>
          <w:szCs w:val="22"/>
          <w:lang w:eastAsia="fr-BE"/>
        </w:rPr>
      </w:pPr>
      <w:r>
        <w:rPr>
          <w:i/>
          <w:color w:val="auto"/>
          <w:szCs w:val="22"/>
        </w:rPr>
        <w:t>en utilisant des connecteurs logiques et chronologiques et</w:t>
      </w:r>
      <w:r>
        <w:rPr>
          <w:i/>
          <w:iCs/>
          <w:color w:val="auto"/>
          <w:szCs w:val="22"/>
          <w:lang w:eastAsia="fr-BE"/>
        </w:rPr>
        <w:t xml:space="preserve"> en respectant la morphosyntaxe,</w:t>
      </w:r>
    </w:p>
    <w:p>
      <w:pPr>
        <w:numPr>
          <w:ilvl w:val="0"/>
          <w:numId w:val="2"/>
        </w:numPr>
        <w:tabs>
          <w:tab w:val="clear" w:pos="1544"/>
          <w:tab w:val="num" w:pos="1276"/>
          <w:tab w:val="num" w:pos="4254"/>
        </w:tabs>
        <w:spacing w:before="120"/>
        <w:ind w:left="1276" w:hanging="283"/>
        <w:jc w:val="both"/>
        <w:rPr>
          <w:sz w:val="22"/>
          <w:szCs w:val="22"/>
        </w:rPr>
      </w:pPr>
      <w:r>
        <w:rPr>
          <w:sz w:val="22"/>
          <w:szCs w:val="22"/>
        </w:rPr>
        <w:t>produire un texte argumentatif cohérent et structuré sur un sujet d'ordre professionnel en utilisant le vocabulaire spécifique au domaine considéré (économique, informatique, technique, scientifique, artistique, etc.).</w:t>
      </w:r>
    </w:p>
    <w:p>
      <w:pPr>
        <w:tabs>
          <w:tab w:val="num" w:pos="4254"/>
        </w:tabs>
        <w:spacing w:before="120"/>
        <w:ind w:left="1276"/>
        <w:jc w:val="both"/>
        <w:rPr>
          <w:sz w:val="22"/>
          <w:szCs w:val="22"/>
        </w:rPr>
      </w:pPr>
    </w:p>
    <w:p>
      <w:pPr>
        <w:tabs>
          <w:tab w:val="num" w:pos="4254"/>
        </w:tabs>
        <w:spacing w:before="120"/>
        <w:ind w:left="1276"/>
        <w:jc w:val="both"/>
        <w:rPr>
          <w:sz w:val="22"/>
          <w:szCs w:val="22"/>
        </w:rPr>
      </w:pPr>
    </w:p>
    <w:p>
      <w:pPr>
        <w:ind w:left="426"/>
        <w:jc w:val="both"/>
        <w:rPr>
          <w:sz w:val="22"/>
          <w:szCs w:val="22"/>
        </w:rPr>
      </w:pPr>
      <w:r>
        <w:rPr>
          <w:b/>
          <w:sz w:val="22"/>
          <w:szCs w:val="22"/>
        </w:rPr>
        <w:t>Pour déterminer le degré de maîtrise</w:t>
      </w:r>
      <w:r>
        <w:rPr>
          <w:sz w:val="22"/>
          <w:szCs w:val="22"/>
        </w:rPr>
        <w:t>, il sera tenu compte</w:t>
      </w:r>
    </w:p>
    <w:p>
      <w:pPr>
        <w:jc w:val="both"/>
        <w:rPr>
          <w:sz w:val="22"/>
          <w:szCs w:val="22"/>
        </w:rPr>
      </w:pPr>
    </w:p>
    <w:p>
      <w:pPr>
        <w:numPr>
          <w:ilvl w:val="0"/>
          <w:numId w:val="8"/>
        </w:numPr>
        <w:spacing w:before="120"/>
        <w:ind w:left="993" w:hanging="284"/>
        <w:jc w:val="both"/>
        <w:textAlignment w:val="auto"/>
        <w:rPr>
          <w:sz w:val="22"/>
          <w:szCs w:val="22"/>
        </w:rPr>
      </w:pPr>
      <w:r>
        <w:rPr>
          <w:sz w:val="22"/>
          <w:szCs w:val="22"/>
        </w:rPr>
        <w:t>du degré de pertinence de la production,</w:t>
      </w:r>
    </w:p>
    <w:p>
      <w:pPr>
        <w:numPr>
          <w:ilvl w:val="0"/>
          <w:numId w:val="8"/>
        </w:numPr>
        <w:spacing w:before="120"/>
        <w:ind w:left="993" w:hanging="284"/>
        <w:jc w:val="both"/>
        <w:textAlignment w:val="auto"/>
        <w:rPr>
          <w:sz w:val="22"/>
          <w:szCs w:val="22"/>
        </w:rPr>
      </w:pPr>
      <w:r>
        <w:rPr>
          <w:sz w:val="22"/>
          <w:szCs w:val="22"/>
        </w:rPr>
        <w:t>du degré de compréhension,</w:t>
      </w:r>
    </w:p>
    <w:p>
      <w:pPr>
        <w:numPr>
          <w:ilvl w:val="0"/>
          <w:numId w:val="8"/>
        </w:numPr>
        <w:spacing w:before="120"/>
        <w:ind w:left="993" w:hanging="284"/>
        <w:jc w:val="both"/>
        <w:textAlignment w:val="auto"/>
        <w:rPr>
          <w:sz w:val="22"/>
          <w:szCs w:val="22"/>
        </w:rPr>
      </w:pPr>
      <w:r>
        <w:rPr>
          <w:sz w:val="22"/>
          <w:szCs w:val="22"/>
        </w:rPr>
        <w:t>de l'étendue du répertoire lexical,</w:t>
      </w:r>
    </w:p>
    <w:p>
      <w:pPr>
        <w:numPr>
          <w:ilvl w:val="0"/>
          <w:numId w:val="8"/>
        </w:numPr>
        <w:spacing w:before="120"/>
        <w:ind w:left="993" w:hanging="284"/>
        <w:jc w:val="both"/>
        <w:textAlignment w:val="auto"/>
        <w:rPr>
          <w:sz w:val="22"/>
          <w:szCs w:val="22"/>
        </w:rPr>
      </w:pPr>
      <w:r>
        <w:rPr>
          <w:sz w:val="22"/>
          <w:szCs w:val="22"/>
        </w:rPr>
        <w:t>du degré de correction morphosyntaxique et orthographique,</w:t>
      </w:r>
    </w:p>
    <w:p>
      <w:pPr>
        <w:numPr>
          <w:ilvl w:val="0"/>
          <w:numId w:val="8"/>
        </w:numPr>
        <w:spacing w:before="120"/>
        <w:ind w:left="993" w:hanging="284"/>
        <w:jc w:val="both"/>
        <w:textAlignment w:val="auto"/>
        <w:rPr>
          <w:sz w:val="22"/>
          <w:szCs w:val="22"/>
        </w:rPr>
      </w:pPr>
      <w:r>
        <w:rPr>
          <w:sz w:val="22"/>
          <w:szCs w:val="22"/>
        </w:rPr>
        <w:t>de la capacité à s’auto-corriger,</w:t>
      </w:r>
    </w:p>
    <w:p>
      <w:pPr>
        <w:numPr>
          <w:ilvl w:val="0"/>
          <w:numId w:val="8"/>
        </w:numPr>
        <w:spacing w:before="120"/>
        <w:ind w:left="993" w:hanging="284"/>
        <w:jc w:val="both"/>
        <w:textAlignment w:val="auto"/>
        <w:rPr>
          <w:sz w:val="22"/>
          <w:szCs w:val="22"/>
        </w:rPr>
      </w:pPr>
      <w:r>
        <w:rPr>
          <w:sz w:val="22"/>
          <w:szCs w:val="22"/>
        </w:rPr>
        <w:t>du degré de clarté de la prononciation,</w:t>
      </w:r>
    </w:p>
    <w:p>
      <w:pPr>
        <w:numPr>
          <w:ilvl w:val="0"/>
          <w:numId w:val="8"/>
        </w:numPr>
        <w:spacing w:before="120"/>
        <w:ind w:left="993" w:hanging="284"/>
        <w:jc w:val="both"/>
        <w:textAlignment w:val="auto"/>
        <w:rPr>
          <w:sz w:val="22"/>
          <w:szCs w:val="22"/>
        </w:rPr>
      </w:pPr>
      <w:r>
        <w:rPr>
          <w:sz w:val="22"/>
          <w:szCs w:val="22"/>
        </w:rPr>
        <w:t>du degré de fluidité de la production (débit, rythme, intonation et accentuation),</w:t>
      </w:r>
    </w:p>
    <w:p>
      <w:pPr>
        <w:numPr>
          <w:ilvl w:val="0"/>
          <w:numId w:val="8"/>
        </w:numPr>
        <w:spacing w:before="120"/>
        <w:ind w:left="993" w:hanging="284"/>
        <w:jc w:val="both"/>
        <w:textAlignment w:val="auto"/>
        <w:rPr>
          <w:sz w:val="22"/>
          <w:szCs w:val="22"/>
        </w:rPr>
      </w:pPr>
      <w:r>
        <w:rPr>
          <w:sz w:val="22"/>
          <w:szCs w:val="22"/>
        </w:rPr>
        <w:t>de l’efficacité de l’attitude communicative,</w:t>
      </w:r>
    </w:p>
    <w:p>
      <w:pPr>
        <w:numPr>
          <w:ilvl w:val="0"/>
          <w:numId w:val="8"/>
        </w:numPr>
        <w:spacing w:before="120"/>
        <w:ind w:left="993" w:hanging="284"/>
        <w:jc w:val="both"/>
        <w:textAlignment w:val="auto"/>
        <w:rPr>
          <w:sz w:val="22"/>
          <w:szCs w:val="22"/>
        </w:rPr>
      </w:pPr>
      <w:r>
        <w:rPr>
          <w:sz w:val="22"/>
          <w:szCs w:val="22"/>
        </w:rPr>
        <w:t>du degré de pertinence des stratégies verbales et non verbales utilisées,</w:t>
      </w:r>
    </w:p>
    <w:p>
      <w:pPr>
        <w:numPr>
          <w:ilvl w:val="0"/>
          <w:numId w:val="8"/>
        </w:numPr>
        <w:spacing w:before="120"/>
        <w:ind w:left="993" w:hanging="284"/>
        <w:jc w:val="both"/>
        <w:textAlignment w:val="auto"/>
        <w:rPr>
          <w:sz w:val="22"/>
          <w:szCs w:val="22"/>
        </w:rPr>
      </w:pPr>
      <w:r>
        <w:rPr>
          <w:sz w:val="22"/>
          <w:szCs w:val="22"/>
        </w:rPr>
        <w:t>du degré de cohérence et de cohésion de la production,</w:t>
      </w:r>
    </w:p>
    <w:p>
      <w:pPr>
        <w:numPr>
          <w:ilvl w:val="0"/>
          <w:numId w:val="8"/>
        </w:numPr>
        <w:spacing w:before="120"/>
        <w:ind w:left="993" w:hanging="284"/>
        <w:jc w:val="both"/>
        <w:textAlignment w:val="auto"/>
        <w:rPr>
          <w:sz w:val="22"/>
          <w:szCs w:val="22"/>
        </w:rPr>
      </w:pPr>
      <w:r>
        <w:rPr>
          <w:sz w:val="22"/>
          <w:szCs w:val="22"/>
        </w:rPr>
        <w:t>de l’originalité de la production,</w:t>
      </w:r>
    </w:p>
    <w:p>
      <w:pPr>
        <w:numPr>
          <w:ilvl w:val="0"/>
          <w:numId w:val="8"/>
        </w:numPr>
        <w:spacing w:before="120"/>
        <w:ind w:left="993" w:hanging="284"/>
        <w:jc w:val="both"/>
        <w:textAlignment w:val="auto"/>
        <w:rPr>
          <w:sz w:val="22"/>
          <w:szCs w:val="22"/>
        </w:rPr>
      </w:pPr>
      <w:r>
        <w:rPr>
          <w:sz w:val="22"/>
          <w:szCs w:val="22"/>
        </w:rPr>
        <w:t>du degré d’autonomie.</w:t>
      </w:r>
    </w:p>
    <w:p>
      <w:pPr>
        <w:suppressAutoHyphens/>
        <w:jc w:val="both"/>
        <w:rPr>
          <w:rFonts w:cs="Mangal"/>
          <w:spacing w:val="-2"/>
          <w:sz w:val="22"/>
          <w:szCs w:val="22"/>
        </w:rPr>
      </w:pPr>
    </w:p>
    <w:p>
      <w:pPr>
        <w:suppressAutoHyphens/>
        <w:jc w:val="both"/>
        <w:rPr>
          <w:rFonts w:cs="Mangal"/>
          <w:spacing w:val="-2"/>
          <w:sz w:val="22"/>
          <w:szCs w:val="22"/>
        </w:rPr>
      </w:pPr>
    </w:p>
    <w:p>
      <w:pPr>
        <w:ind w:left="426" w:hanging="426"/>
        <w:rPr>
          <w:b/>
          <w:sz w:val="22"/>
        </w:rPr>
      </w:pPr>
      <w:r>
        <w:rPr>
          <w:b/>
          <w:sz w:val="22"/>
        </w:rPr>
        <w:t>4.</w:t>
      </w:r>
      <w:r>
        <w:rPr>
          <w:b/>
          <w:sz w:val="22"/>
        </w:rPr>
        <w:tab/>
        <w:t>PROGRAMME</w:t>
      </w:r>
    </w:p>
    <w:p>
      <w:pPr>
        <w:ind w:left="360"/>
        <w:jc w:val="both"/>
        <w:rPr>
          <w:i/>
          <w:sz w:val="22"/>
        </w:rPr>
      </w:pPr>
    </w:p>
    <w:p>
      <w:pPr>
        <w:ind w:left="360"/>
        <w:jc w:val="both"/>
        <w:rPr>
          <w:b/>
          <w:sz w:val="22"/>
        </w:rPr>
      </w:pPr>
      <w:r>
        <w:rPr>
          <w:b/>
          <w:sz w:val="22"/>
        </w:rPr>
        <w:t>4.1. Langue en situation socioprofessionnelle</w:t>
      </w:r>
    </w:p>
    <w:p>
      <w:pPr>
        <w:ind w:left="360"/>
        <w:jc w:val="both"/>
        <w:rPr>
          <w:sz w:val="22"/>
        </w:rPr>
      </w:pPr>
    </w:p>
    <w:p>
      <w:pPr>
        <w:ind w:left="360"/>
        <w:jc w:val="both"/>
        <w:rPr>
          <w:sz w:val="22"/>
        </w:rPr>
      </w:pPr>
      <w:r>
        <w:rPr>
          <w:sz w:val="22"/>
        </w:rPr>
        <w:t xml:space="preserve">Les composantes linguistiques (lexicales, grammaticales, sémantiques, phonologiques et  orthographiques), sociolinguistiques et pragmatiques de la compétence à communiquer langagièrement seront développées à partir de </w:t>
      </w:r>
      <w:r>
        <w:rPr>
          <w:b/>
          <w:sz w:val="22"/>
        </w:rPr>
        <w:t>situations de communication</w:t>
      </w:r>
      <w:r>
        <w:rPr>
          <w:sz w:val="22"/>
        </w:rPr>
        <w:t xml:space="preserve"> et par un travail en autonomie en recourant notamment à divers modes de formation en ligne afin d'amener les étudiants à : </w:t>
      </w:r>
    </w:p>
    <w:p>
      <w:pPr>
        <w:ind w:left="426"/>
        <w:jc w:val="both"/>
        <w:rPr>
          <w:sz w:val="22"/>
        </w:rPr>
      </w:pPr>
    </w:p>
    <w:p>
      <w:pPr>
        <w:numPr>
          <w:ilvl w:val="0"/>
          <w:numId w:val="19"/>
        </w:numPr>
        <w:ind w:left="993" w:hanging="284"/>
        <w:jc w:val="both"/>
        <w:rPr>
          <w:sz w:val="22"/>
        </w:rPr>
      </w:pPr>
      <w:r>
        <w:rPr>
          <w:sz w:val="22"/>
        </w:rPr>
        <w:t>comprendre des messages oraux ;</w:t>
      </w:r>
    </w:p>
    <w:p>
      <w:pPr>
        <w:numPr>
          <w:ilvl w:val="12"/>
          <w:numId w:val="0"/>
        </w:numPr>
        <w:ind w:left="709" w:hanging="283"/>
        <w:jc w:val="both"/>
        <w:rPr>
          <w:sz w:val="22"/>
        </w:rPr>
      </w:pPr>
    </w:p>
    <w:p>
      <w:pPr>
        <w:numPr>
          <w:ilvl w:val="0"/>
          <w:numId w:val="19"/>
        </w:numPr>
        <w:ind w:left="993" w:hanging="284"/>
        <w:jc w:val="both"/>
        <w:rPr>
          <w:sz w:val="22"/>
        </w:rPr>
      </w:pPr>
      <w:r>
        <w:rPr>
          <w:sz w:val="22"/>
        </w:rPr>
        <w:t>comprendre des messages écrits ;</w:t>
      </w:r>
    </w:p>
    <w:p>
      <w:pPr>
        <w:jc w:val="both"/>
        <w:rPr>
          <w:sz w:val="22"/>
        </w:rPr>
      </w:pPr>
    </w:p>
    <w:p>
      <w:pPr>
        <w:numPr>
          <w:ilvl w:val="0"/>
          <w:numId w:val="19"/>
        </w:numPr>
        <w:ind w:left="993" w:hanging="284"/>
        <w:jc w:val="both"/>
        <w:rPr>
          <w:sz w:val="22"/>
        </w:rPr>
      </w:pPr>
      <w:r>
        <w:rPr>
          <w:sz w:val="22"/>
        </w:rPr>
        <w:lastRenderedPageBreak/>
        <w:t>prendre part à une conversation ;</w:t>
      </w:r>
    </w:p>
    <w:p>
      <w:pPr>
        <w:numPr>
          <w:ilvl w:val="12"/>
          <w:numId w:val="0"/>
        </w:numPr>
        <w:ind w:left="709" w:hanging="283"/>
        <w:jc w:val="both"/>
        <w:rPr>
          <w:sz w:val="22"/>
        </w:rPr>
      </w:pPr>
    </w:p>
    <w:p>
      <w:pPr>
        <w:numPr>
          <w:ilvl w:val="0"/>
          <w:numId w:val="19"/>
        </w:numPr>
        <w:ind w:left="993" w:hanging="284"/>
        <w:jc w:val="both"/>
        <w:rPr>
          <w:sz w:val="22"/>
        </w:rPr>
      </w:pPr>
      <w:r>
        <w:rPr>
          <w:sz w:val="22"/>
        </w:rPr>
        <w:t>s’exprimer oralement en continu ;</w:t>
      </w:r>
    </w:p>
    <w:p>
      <w:pPr>
        <w:numPr>
          <w:ilvl w:val="12"/>
          <w:numId w:val="0"/>
        </w:numPr>
        <w:ind w:left="709" w:hanging="283"/>
        <w:jc w:val="both"/>
        <w:rPr>
          <w:sz w:val="22"/>
        </w:rPr>
      </w:pPr>
    </w:p>
    <w:p>
      <w:pPr>
        <w:numPr>
          <w:ilvl w:val="0"/>
          <w:numId w:val="19"/>
        </w:numPr>
        <w:ind w:left="993" w:hanging="284"/>
        <w:jc w:val="both"/>
        <w:rPr>
          <w:sz w:val="22"/>
        </w:rPr>
      </w:pPr>
      <w:r>
        <w:rPr>
          <w:sz w:val="22"/>
        </w:rPr>
        <w:t>s’exprimer par écrit.</w:t>
      </w:r>
    </w:p>
    <w:p>
      <w:pPr>
        <w:jc w:val="both"/>
        <w:rPr>
          <w:sz w:val="22"/>
        </w:rPr>
      </w:pPr>
    </w:p>
    <w:p>
      <w:pPr>
        <w:ind w:left="426"/>
        <w:jc w:val="both"/>
        <w:rPr>
          <w:sz w:val="22"/>
        </w:rPr>
      </w:pPr>
    </w:p>
    <w:p>
      <w:pPr>
        <w:ind w:left="426"/>
        <w:jc w:val="both"/>
        <w:rPr>
          <w:sz w:val="22"/>
        </w:rPr>
      </w:pPr>
      <w:r>
        <w:rPr>
          <w:sz w:val="22"/>
        </w:rPr>
        <w:t>En ce qui concerne chaque activité de communication langagière, l'étudiant sera capable de :</w:t>
      </w:r>
    </w:p>
    <w:p>
      <w:pPr>
        <w:ind w:left="851"/>
        <w:jc w:val="both"/>
        <w:rPr>
          <w:color w:val="FF0000"/>
          <w:sz w:val="22"/>
        </w:rPr>
      </w:pPr>
    </w:p>
    <w:p>
      <w:pPr>
        <w:numPr>
          <w:ilvl w:val="0"/>
          <w:numId w:val="1"/>
        </w:numPr>
        <w:ind w:left="993" w:hanging="284"/>
        <w:jc w:val="both"/>
        <w:rPr>
          <w:sz w:val="22"/>
        </w:rPr>
      </w:pPr>
      <w:r>
        <w:rPr>
          <w:sz w:val="22"/>
        </w:rPr>
        <w:t>en compréhension de l'oral :</w:t>
      </w:r>
    </w:p>
    <w:p>
      <w:pPr>
        <w:ind w:left="993"/>
        <w:jc w:val="both"/>
        <w:rPr>
          <w:sz w:val="22"/>
        </w:rPr>
      </w:pPr>
    </w:p>
    <w:p>
      <w:pPr>
        <w:numPr>
          <w:ilvl w:val="0"/>
          <w:numId w:val="2"/>
        </w:numPr>
        <w:tabs>
          <w:tab w:val="num" w:pos="1276"/>
          <w:tab w:val="num" w:pos="4254"/>
        </w:tabs>
        <w:spacing w:before="120"/>
        <w:ind w:left="1276" w:hanging="283"/>
        <w:jc w:val="both"/>
        <w:rPr>
          <w:sz w:val="22"/>
        </w:rPr>
      </w:pPr>
      <w:r>
        <w:rPr>
          <w:sz w:val="22"/>
        </w:rPr>
        <w:t>comprendre des messages oraux et audio diversifiés utilisés dans des situations professionnelles, notamment dans des contextes réels (bruits de fond, accents, changements de rythme et de débit, etc.) ;</w:t>
      </w:r>
    </w:p>
    <w:p>
      <w:pPr>
        <w:numPr>
          <w:ilvl w:val="0"/>
          <w:numId w:val="2"/>
        </w:numPr>
        <w:tabs>
          <w:tab w:val="num" w:pos="1276"/>
          <w:tab w:val="num" w:pos="4254"/>
        </w:tabs>
        <w:spacing w:before="120"/>
        <w:ind w:left="1276" w:hanging="283"/>
        <w:jc w:val="both"/>
        <w:rPr>
          <w:sz w:val="22"/>
        </w:rPr>
      </w:pPr>
      <w:r>
        <w:rPr>
          <w:sz w:val="22"/>
        </w:rPr>
        <w:t xml:space="preserve">comprendre l’information contenue dans des documents multimédia authentiques, actualisés et variés, ayant trait à des sujets liés au domaine professionnel ; </w:t>
      </w:r>
    </w:p>
    <w:p>
      <w:pPr>
        <w:numPr>
          <w:ilvl w:val="0"/>
          <w:numId w:val="2"/>
        </w:numPr>
        <w:tabs>
          <w:tab w:val="num" w:pos="1276"/>
          <w:tab w:val="num" w:pos="4254"/>
        </w:tabs>
        <w:spacing w:before="120"/>
        <w:ind w:left="1276" w:hanging="283"/>
        <w:jc w:val="both"/>
        <w:rPr>
          <w:sz w:val="22"/>
        </w:rPr>
      </w:pPr>
      <w:r>
        <w:rPr>
          <w:sz w:val="22"/>
        </w:rPr>
        <w:t>comprendre un exposé relatif à un thème professionnel ;</w:t>
      </w:r>
    </w:p>
    <w:p>
      <w:pPr>
        <w:numPr>
          <w:ilvl w:val="0"/>
          <w:numId w:val="2"/>
        </w:numPr>
        <w:tabs>
          <w:tab w:val="num" w:pos="1276"/>
          <w:tab w:val="num" w:pos="4254"/>
        </w:tabs>
        <w:spacing w:before="120"/>
        <w:ind w:left="1276" w:hanging="283"/>
        <w:jc w:val="both"/>
        <w:rPr>
          <w:sz w:val="22"/>
        </w:rPr>
      </w:pPr>
      <w:r>
        <w:rPr>
          <w:sz w:val="22"/>
        </w:rPr>
        <w:t>comprendre des indications et/ou des directives détaillées d’ordre professionnel ;</w:t>
      </w:r>
    </w:p>
    <w:p>
      <w:pPr>
        <w:numPr>
          <w:ilvl w:val="0"/>
          <w:numId w:val="2"/>
        </w:numPr>
        <w:tabs>
          <w:tab w:val="num" w:pos="1276"/>
          <w:tab w:val="num" w:pos="4254"/>
        </w:tabs>
        <w:spacing w:before="120"/>
        <w:ind w:left="1276" w:hanging="283"/>
        <w:jc w:val="both"/>
        <w:rPr>
          <w:sz w:val="22"/>
        </w:rPr>
      </w:pPr>
      <w:r>
        <w:rPr>
          <w:sz w:val="22"/>
        </w:rPr>
        <w:t>comprendre des messages téléphoniques (demandes de renseignements, plaintes, etc.) ;</w:t>
      </w:r>
    </w:p>
    <w:p>
      <w:pPr>
        <w:numPr>
          <w:ilvl w:val="0"/>
          <w:numId w:val="2"/>
        </w:numPr>
        <w:tabs>
          <w:tab w:val="num" w:pos="1276"/>
          <w:tab w:val="num" w:pos="4254"/>
        </w:tabs>
        <w:spacing w:before="120"/>
        <w:ind w:left="1276" w:hanging="283"/>
        <w:jc w:val="both"/>
        <w:rPr>
          <w:sz w:val="22"/>
        </w:rPr>
      </w:pPr>
      <w:r>
        <w:rPr>
          <w:sz w:val="22"/>
        </w:rPr>
        <w:t xml:space="preserve">inférer le sens de mots inconnus à partir du contexte. </w:t>
      </w:r>
    </w:p>
    <w:p>
      <w:pPr>
        <w:tabs>
          <w:tab w:val="num" w:pos="4254"/>
        </w:tabs>
        <w:spacing w:before="120"/>
        <w:jc w:val="both"/>
        <w:rPr>
          <w:sz w:val="22"/>
        </w:rPr>
      </w:pPr>
    </w:p>
    <w:p>
      <w:pPr>
        <w:numPr>
          <w:ilvl w:val="0"/>
          <w:numId w:val="1"/>
        </w:numPr>
        <w:ind w:left="993" w:hanging="284"/>
        <w:jc w:val="both"/>
        <w:rPr>
          <w:sz w:val="22"/>
        </w:rPr>
      </w:pPr>
      <w:r>
        <w:rPr>
          <w:sz w:val="22"/>
        </w:rPr>
        <w:t>en compréhension de l'écrit :</w:t>
      </w:r>
    </w:p>
    <w:p>
      <w:pPr>
        <w:numPr>
          <w:ilvl w:val="0"/>
          <w:numId w:val="2"/>
        </w:numPr>
        <w:tabs>
          <w:tab w:val="num" w:pos="1276"/>
        </w:tabs>
        <w:spacing w:before="240"/>
        <w:ind w:left="1276"/>
        <w:jc w:val="both"/>
        <w:rPr>
          <w:sz w:val="22"/>
        </w:rPr>
      </w:pPr>
      <w:r>
        <w:rPr>
          <w:sz w:val="22"/>
        </w:rPr>
        <w:t>comprendre des messages variés utilisés dans des situations professionnelles ;</w:t>
      </w:r>
    </w:p>
    <w:p>
      <w:pPr>
        <w:numPr>
          <w:ilvl w:val="0"/>
          <w:numId w:val="2"/>
        </w:numPr>
        <w:tabs>
          <w:tab w:val="num" w:pos="1276"/>
        </w:tabs>
        <w:spacing w:before="120"/>
        <w:ind w:left="1276"/>
        <w:jc w:val="both"/>
        <w:rPr>
          <w:sz w:val="22"/>
        </w:rPr>
      </w:pPr>
      <w:r>
        <w:rPr>
          <w:sz w:val="22"/>
        </w:rPr>
        <w:t>comprendre l’information contenue dans des documents authentiques et actualisés ayant trait à des sujets d'ordre professionnel ;</w:t>
      </w:r>
    </w:p>
    <w:p>
      <w:pPr>
        <w:numPr>
          <w:ilvl w:val="0"/>
          <w:numId w:val="2"/>
        </w:numPr>
        <w:tabs>
          <w:tab w:val="num" w:pos="1276"/>
          <w:tab w:val="num" w:pos="4254"/>
        </w:tabs>
        <w:spacing w:before="120"/>
        <w:ind w:left="1276" w:hanging="283"/>
        <w:jc w:val="both"/>
        <w:rPr>
          <w:sz w:val="22"/>
        </w:rPr>
      </w:pPr>
      <w:r>
        <w:rPr>
          <w:sz w:val="22"/>
        </w:rPr>
        <w:t>comprendre les courriers professionnels (demandes d'information, commandes, confirmations, plaintes etc.) ;</w:t>
      </w:r>
    </w:p>
    <w:p>
      <w:pPr>
        <w:numPr>
          <w:ilvl w:val="0"/>
          <w:numId w:val="2"/>
        </w:numPr>
        <w:tabs>
          <w:tab w:val="clear" w:pos="1544"/>
          <w:tab w:val="num" w:pos="1276"/>
        </w:tabs>
        <w:spacing w:before="120"/>
        <w:ind w:left="1276" w:hanging="283"/>
        <w:jc w:val="both"/>
        <w:rPr>
          <w:sz w:val="22"/>
        </w:rPr>
      </w:pPr>
      <w:r>
        <w:rPr>
          <w:sz w:val="22"/>
        </w:rPr>
        <w:t>réunir des informations provenant de textes différents afin d'accomplir une tâche spécifique ;</w:t>
      </w:r>
    </w:p>
    <w:p>
      <w:pPr>
        <w:numPr>
          <w:ilvl w:val="0"/>
          <w:numId w:val="2"/>
        </w:numPr>
        <w:tabs>
          <w:tab w:val="clear" w:pos="1544"/>
          <w:tab w:val="num" w:pos="1276"/>
        </w:tabs>
        <w:spacing w:before="120"/>
        <w:ind w:left="1276" w:hanging="283"/>
        <w:jc w:val="both"/>
        <w:rPr>
          <w:sz w:val="22"/>
        </w:rPr>
      </w:pPr>
      <w:r>
        <w:rPr>
          <w:sz w:val="22"/>
        </w:rPr>
        <w:t>comprendre un texte de type argumentatif ;</w:t>
      </w:r>
    </w:p>
    <w:p>
      <w:pPr>
        <w:numPr>
          <w:ilvl w:val="0"/>
          <w:numId w:val="2"/>
        </w:numPr>
        <w:tabs>
          <w:tab w:val="num" w:pos="1276"/>
          <w:tab w:val="num" w:pos="4254"/>
        </w:tabs>
        <w:spacing w:before="120"/>
        <w:ind w:left="1276" w:hanging="283"/>
        <w:jc w:val="both"/>
        <w:rPr>
          <w:sz w:val="22"/>
        </w:rPr>
      </w:pPr>
      <w:r>
        <w:rPr>
          <w:sz w:val="22"/>
        </w:rPr>
        <w:t xml:space="preserve">utiliser le sens général d'un texte pour inférer la signification de mots inconnus à partir du contexte. </w:t>
      </w:r>
    </w:p>
    <w:p>
      <w:pPr>
        <w:tabs>
          <w:tab w:val="num" w:pos="4254"/>
        </w:tabs>
        <w:spacing w:before="120"/>
        <w:ind w:left="993"/>
        <w:jc w:val="both"/>
        <w:rPr>
          <w:sz w:val="22"/>
        </w:rPr>
      </w:pPr>
    </w:p>
    <w:p>
      <w:pPr>
        <w:numPr>
          <w:ilvl w:val="0"/>
          <w:numId w:val="1"/>
        </w:numPr>
        <w:ind w:left="993" w:hanging="284"/>
        <w:jc w:val="both"/>
        <w:rPr>
          <w:sz w:val="22"/>
        </w:rPr>
      </w:pPr>
      <w:r>
        <w:rPr>
          <w:sz w:val="22"/>
        </w:rPr>
        <w:t>en interaction orale :</w:t>
      </w:r>
    </w:p>
    <w:p>
      <w:pPr>
        <w:jc w:val="both"/>
        <w:rPr>
          <w:i/>
          <w:iCs/>
          <w:sz w:val="22"/>
        </w:rPr>
      </w:pPr>
    </w:p>
    <w:p>
      <w:pPr>
        <w:ind w:left="720"/>
        <w:jc w:val="both"/>
        <w:rPr>
          <w:b/>
          <w:i/>
          <w:iCs/>
          <w:sz w:val="22"/>
        </w:rPr>
      </w:pPr>
      <w:r>
        <w:rPr>
          <w:i/>
          <w:iCs/>
          <w:sz w:val="22"/>
        </w:rPr>
        <w:t>dans des simulations de situations professionnelles liées au domaine considéré</w:t>
      </w:r>
      <w:r>
        <w:rPr>
          <w:b/>
          <w:i/>
          <w:iCs/>
          <w:sz w:val="22"/>
        </w:rPr>
        <w:t>,</w:t>
      </w:r>
    </w:p>
    <w:p>
      <w:pPr>
        <w:ind w:left="993"/>
        <w:jc w:val="both"/>
        <w:rPr>
          <w:sz w:val="22"/>
        </w:rPr>
      </w:pPr>
    </w:p>
    <w:p>
      <w:pPr>
        <w:numPr>
          <w:ilvl w:val="0"/>
          <w:numId w:val="2"/>
        </w:numPr>
        <w:tabs>
          <w:tab w:val="num" w:pos="1276"/>
          <w:tab w:val="num" w:pos="4254"/>
        </w:tabs>
        <w:spacing w:before="120"/>
        <w:ind w:left="1276" w:hanging="283"/>
        <w:jc w:val="both"/>
        <w:rPr>
          <w:sz w:val="22"/>
        </w:rPr>
      </w:pPr>
      <w:r>
        <w:rPr>
          <w:sz w:val="22"/>
        </w:rPr>
        <w:t>intervenir avec aisance dans des échanges professionnels, en utilisant des termes et expressions appropriés et des procédés adéquats pour prendre la parole et en faciliter la poursuite ;</w:t>
      </w:r>
    </w:p>
    <w:p>
      <w:pPr>
        <w:numPr>
          <w:ilvl w:val="0"/>
          <w:numId w:val="2"/>
        </w:numPr>
        <w:tabs>
          <w:tab w:val="num" w:pos="1276"/>
          <w:tab w:val="num" w:pos="4254"/>
        </w:tabs>
        <w:spacing w:before="120"/>
        <w:ind w:left="1276" w:hanging="283"/>
        <w:jc w:val="both"/>
        <w:rPr>
          <w:sz w:val="22"/>
        </w:rPr>
      </w:pPr>
      <w:r>
        <w:rPr>
          <w:sz w:val="22"/>
        </w:rPr>
        <w:t>comprendre et réagir adéquatement aux propos d'autres interlocuteurs ;</w:t>
      </w:r>
    </w:p>
    <w:p>
      <w:pPr>
        <w:numPr>
          <w:ilvl w:val="0"/>
          <w:numId w:val="2"/>
        </w:numPr>
        <w:tabs>
          <w:tab w:val="num" w:pos="1276"/>
          <w:tab w:val="num" w:pos="4254"/>
        </w:tabs>
        <w:spacing w:before="120"/>
        <w:ind w:left="1276" w:hanging="283"/>
        <w:jc w:val="both"/>
        <w:rPr>
          <w:sz w:val="22"/>
        </w:rPr>
      </w:pPr>
      <w:r>
        <w:rPr>
          <w:sz w:val="22"/>
        </w:rPr>
        <w:t>reformuler les propos d'un interlocuteur pour confirmer la compréhension mutuelle ;</w:t>
      </w:r>
    </w:p>
    <w:p>
      <w:pPr>
        <w:numPr>
          <w:ilvl w:val="0"/>
          <w:numId w:val="2"/>
        </w:numPr>
        <w:tabs>
          <w:tab w:val="num" w:pos="1276"/>
          <w:tab w:val="num" w:pos="4254"/>
        </w:tabs>
        <w:spacing w:before="120"/>
        <w:ind w:left="1276" w:hanging="283"/>
        <w:jc w:val="both"/>
        <w:rPr>
          <w:sz w:val="22"/>
        </w:rPr>
      </w:pPr>
      <w:r>
        <w:rPr>
          <w:sz w:val="22"/>
        </w:rPr>
        <w:t>demander à quelqu’un de clarifier ou de développer ses propos ;</w:t>
      </w:r>
    </w:p>
    <w:p>
      <w:pPr>
        <w:numPr>
          <w:ilvl w:val="0"/>
          <w:numId w:val="2"/>
        </w:numPr>
        <w:tabs>
          <w:tab w:val="num" w:pos="1276"/>
          <w:tab w:val="num" w:pos="4254"/>
        </w:tabs>
        <w:spacing w:before="120"/>
        <w:ind w:left="1276" w:hanging="283"/>
        <w:jc w:val="both"/>
        <w:rPr>
          <w:sz w:val="22"/>
        </w:rPr>
      </w:pPr>
      <w:r>
        <w:rPr>
          <w:sz w:val="22"/>
        </w:rPr>
        <w:t>commenter le point de vue d'autrui ;</w:t>
      </w:r>
    </w:p>
    <w:p>
      <w:pPr>
        <w:numPr>
          <w:ilvl w:val="0"/>
          <w:numId w:val="2"/>
        </w:numPr>
        <w:tabs>
          <w:tab w:val="num" w:pos="1276"/>
          <w:tab w:val="num" w:pos="4254"/>
        </w:tabs>
        <w:spacing w:before="120"/>
        <w:ind w:left="1276" w:hanging="283"/>
        <w:jc w:val="both"/>
        <w:rPr>
          <w:sz w:val="22"/>
        </w:rPr>
      </w:pPr>
      <w:r>
        <w:rPr>
          <w:sz w:val="22"/>
        </w:rPr>
        <w:t>échanger des informations et émettre un point de vue dans des situations d'ordre professionnel ;</w:t>
      </w:r>
    </w:p>
    <w:p>
      <w:pPr>
        <w:numPr>
          <w:ilvl w:val="0"/>
          <w:numId w:val="2"/>
        </w:numPr>
        <w:tabs>
          <w:tab w:val="num" w:pos="1276"/>
          <w:tab w:val="num" w:pos="4254"/>
        </w:tabs>
        <w:spacing w:before="120"/>
        <w:ind w:left="1276" w:hanging="283"/>
        <w:jc w:val="both"/>
        <w:rPr>
          <w:sz w:val="22"/>
        </w:rPr>
      </w:pPr>
      <w:r>
        <w:rPr>
          <w:sz w:val="22"/>
        </w:rPr>
        <w:lastRenderedPageBreak/>
        <w:t>expliquer en quoi une situation pose problème et discuter des solutions possibles ;</w:t>
      </w:r>
    </w:p>
    <w:p>
      <w:pPr>
        <w:numPr>
          <w:ilvl w:val="0"/>
          <w:numId w:val="2"/>
        </w:numPr>
        <w:tabs>
          <w:tab w:val="num" w:pos="1276"/>
          <w:tab w:val="num" w:pos="4254"/>
        </w:tabs>
        <w:spacing w:before="120"/>
        <w:ind w:left="1276" w:hanging="283"/>
        <w:jc w:val="both"/>
        <w:rPr>
          <w:sz w:val="22"/>
        </w:rPr>
      </w:pPr>
      <w:r>
        <w:rPr>
          <w:sz w:val="22"/>
        </w:rPr>
        <w:t>faire des suggestions et réagir à des propositions ;</w:t>
      </w:r>
    </w:p>
    <w:p>
      <w:pPr>
        <w:numPr>
          <w:ilvl w:val="0"/>
          <w:numId w:val="2"/>
        </w:numPr>
        <w:tabs>
          <w:tab w:val="num" w:pos="1276"/>
          <w:tab w:val="num" w:pos="4254"/>
        </w:tabs>
        <w:spacing w:before="120"/>
        <w:ind w:left="1276" w:hanging="283"/>
        <w:jc w:val="both"/>
        <w:rPr>
          <w:sz w:val="22"/>
        </w:rPr>
      </w:pPr>
      <w:r>
        <w:rPr>
          <w:sz w:val="22"/>
        </w:rPr>
        <w:t>formuler une plainte ;</w:t>
      </w:r>
    </w:p>
    <w:p>
      <w:pPr>
        <w:numPr>
          <w:ilvl w:val="0"/>
          <w:numId w:val="2"/>
        </w:numPr>
        <w:tabs>
          <w:tab w:val="num" w:pos="1276"/>
          <w:tab w:val="num" w:pos="4254"/>
        </w:tabs>
        <w:spacing w:before="120"/>
        <w:ind w:left="1276" w:hanging="283"/>
        <w:jc w:val="both"/>
        <w:rPr>
          <w:sz w:val="22"/>
        </w:rPr>
      </w:pPr>
      <w:r>
        <w:rPr>
          <w:sz w:val="22"/>
        </w:rPr>
        <w:t>exprimer de façon appropriée ses convictions, son accord ou son désaccord et inviter les autres à le faire ;</w:t>
      </w:r>
    </w:p>
    <w:p>
      <w:pPr>
        <w:numPr>
          <w:ilvl w:val="0"/>
          <w:numId w:val="2"/>
        </w:numPr>
        <w:tabs>
          <w:tab w:val="num" w:pos="1276"/>
          <w:tab w:val="num" w:pos="4254"/>
        </w:tabs>
        <w:spacing w:before="120"/>
        <w:ind w:left="1276" w:hanging="283"/>
        <w:jc w:val="both"/>
        <w:rPr>
          <w:sz w:val="22"/>
        </w:rPr>
      </w:pPr>
      <w:r>
        <w:rPr>
          <w:sz w:val="22"/>
        </w:rPr>
        <w:t>argumenter de manière nuancée pour convaincre son interlocuteur ;</w:t>
      </w:r>
    </w:p>
    <w:p>
      <w:pPr>
        <w:numPr>
          <w:ilvl w:val="0"/>
          <w:numId w:val="2"/>
        </w:numPr>
        <w:tabs>
          <w:tab w:val="num" w:pos="1276"/>
          <w:tab w:val="num" w:pos="4254"/>
        </w:tabs>
        <w:spacing w:before="120"/>
        <w:ind w:left="1276" w:hanging="283"/>
        <w:jc w:val="both"/>
        <w:rPr>
          <w:sz w:val="22"/>
        </w:rPr>
      </w:pPr>
      <w:r>
        <w:rPr>
          <w:sz w:val="22"/>
        </w:rPr>
        <w:t>donner et suivre des directives et des instructions détaillées ;</w:t>
      </w:r>
    </w:p>
    <w:p>
      <w:pPr>
        <w:numPr>
          <w:ilvl w:val="0"/>
          <w:numId w:val="2"/>
        </w:numPr>
        <w:tabs>
          <w:tab w:val="num" w:pos="1276"/>
          <w:tab w:val="num" w:pos="4254"/>
        </w:tabs>
        <w:spacing w:before="120"/>
        <w:ind w:left="1276" w:hanging="283"/>
        <w:jc w:val="both"/>
        <w:rPr>
          <w:sz w:val="22"/>
        </w:rPr>
      </w:pPr>
      <w:r>
        <w:rPr>
          <w:sz w:val="22"/>
        </w:rPr>
        <w:t>conduire un entretien, une réunion ;</w:t>
      </w:r>
    </w:p>
    <w:p>
      <w:pPr>
        <w:numPr>
          <w:ilvl w:val="0"/>
          <w:numId w:val="2"/>
        </w:numPr>
        <w:tabs>
          <w:tab w:val="num" w:pos="1276"/>
          <w:tab w:val="num" w:pos="4254"/>
        </w:tabs>
        <w:spacing w:before="120"/>
        <w:ind w:left="1276" w:hanging="283"/>
        <w:jc w:val="both"/>
        <w:rPr>
          <w:sz w:val="22"/>
        </w:rPr>
      </w:pPr>
      <w:r>
        <w:rPr>
          <w:sz w:val="22"/>
        </w:rPr>
        <w:t>décoder et adopter un langage non verbal adapté à la situation de communication (gestes, mimiques, attitudes, contact oculaire, ton, etc.)</w:t>
      </w:r>
      <w:r>
        <w:rPr>
          <w:vertAlign w:val="superscript"/>
        </w:rPr>
        <w:footnoteReference w:id="1"/>
      </w:r>
      <w:r>
        <w:rPr>
          <w:sz w:val="22"/>
        </w:rPr>
        <w:t xml:space="preserve"> ; </w:t>
      </w:r>
    </w:p>
    <w:p>
      <w:pPr>
        <w:numPr>
          <w:ilvl w:val="0"/>
          <w:numId w:val="2"/>
        </w:numPr>
        <w:tabs>
          <w:tab w:val="num" w:pos="1276"/>
          <w:tab w:val="num" w:pos="4254"/>
        </w:tabs>
        <w:spacing w:before="120"/>
        <w:ind w:left="1276" w:hanging="283"/>
        <w:jc w:val="both"/>
        <w:rPr>
          <w:i/>
          <w:sz w:val="22"/>
          <w:szCs w:val="22"/>
        </w:rPr>
      </w:pPr>
      <w:r>
        <w:rPr>
          <w:sz w:val="22"/>
          <w:szCs w:val="22"/>
        </w:rPr>
        <w:t>recourir de manière appropriée à des stratégies permettant de compenser les lacunes linguistiques pour répondre aux exigences de la communication,</w:t>
      </w:r>
    </w:p>
    <w:p>
      <w:pPr>
        <w:tabs>
          <w:tab w:val="num" w:pos="4254"/>
        </w:tabs>
        <w:spacing w:before="120"/>
        <w:ind w:left="993"/>
        <w:jc w:val="both"/>
        <w:rPr>
          <w:i/>
          <w:sz w:val="22"/>
          <w:szCs w:val="22"/>
        </w:rPr>
      </w:pPr>
    </w:p>
    <w:p>
      <w:pPr>
        <w:tabs>
          <w:tab w:val="num" w:pos="4254"/>
        </w:tabs>
        <w:ind w:left="720"/>
        <w:jc w:val="both"/>
        <w:rPr>
          <w:i/>
          <w:sz w:val="22"/>
          <w:szCs w:val="22"/>
        </w:rPr>
      </w:pPr>
      <w:r>
        <w:rPr>
          <w:i/>
          <w:sz w:val="22"/>
          <w:szCs w:val="22"/>
        </w:rPr>
        <w:t>en intervenant de manière spontanée,</w:t>
      </w:r>
    </w:p>
    <w:p>
      <w:pPr>
        <w:tabs>
          <w:tab w:val="num" w:pos="4254"/>
        </w:tabs>
        <w:ind w:left="720"/>
        <w:jc w:val="both"/>
        <w:rPr>
          <w:i/>
          <w:sz w:val="22"/>
          <w:szCs w:val="22"/>
        </w:rPr>
      </w:pPr>
      <w:r>
        <w:rPr>
          <w:i/>
          <w:sz w:val="22"/>
          <w:szCs w:val="22"/>
        </w:rPr>
        <w:t xml:space="preserve">en respectant la morphosyntaxe, </w:t>
      </w:r>
    </w:p>
    <w:p>
      <w:pPr>
        <w:tabs>
          <w:tab w:val="num" w:pos="4254"/>
        </w:tabs>
        <w:ind w:left="720"/>
        <w:jc w:val="both"/>
        <w:rPr>
          <w:i/>
        </w:rPr>
      </w:pPr>
      <w:r>
        <w:rPr>
          <w:i/>
          <w:sz w:val="22"/>
          <w:szCs w:val="22"/>
        </w:rPr>
        <w:t>avec une prononciation, une intonation et une accentuation clairement intelligibles</w:t>
      </w:r>
      <w:r>
        <w:rPr>
          <w:i/>
        </w:rPr>
        <w:t xml:space="preserve">. </w:t>
      </w:r>
    </w:p>
    <w:p>
      <w:pPr>
        <w:ind w:left="993"/>
        <w:jc w:val="both"/>
        <w:rPr>
          <w:sz w:val="22"/>
        </w:rPr>
      </w:pPr>
    </w:p>
    <w:p>
      <w:pPr>
        <w:numPr>
          <w:ilvl w:val="0"/>
          <w:numId w:val="1"/>
        </w:numPr>
        <w:ind w:left="993" w:hanging="284"/>
        <w:jc w:val="both"/>
        <w:rPr>
          <w:sz w:val="22"/>
        </w:rPr>
      </w:pPr>
      <w:r>
        <w:rPr>
          <w:sz w:val="22"/>
        </w:rPr>
        <w:t>en production orale en continu :</w:t>
      </w:r>
    </w:p>
    <w:p>
      <w:pPr>
        <w:pStyle w:val="Retraitcorpsdetexte"/>
        <w:spacing w:before="240"/>
        <w:ind w:left="720"/>
        <w:rPr>
          <w:i/>
          <w:color w:val="auto"/>
        </w:rPr>
      </w:pPr>
      <w:r>
        <w:rPr>
          <w:i/>
          <w:color w:val="auto"/>
        </w:rPr>
        <w:t>en s’affranchissant d’un éventuel support écrit et en tenant compte du public cible,</w:t>
      </w:r>
    </w:p>
    <w:p>
      <w:pPr>
        <w:ind w:left="709"/>
        <w:jc w:val="both"/>
        <w:rPr>
          <w:sz w:val="22"/>
        </w:rPr>
      </w:pPr>
    </w:p>
    <w:p>
      <w:pPr>
        <w:numPr>
          <w:ilvl w:val="0"/>
          <w:numId w:val="2"/>
        </w:numPr>
        <w:tabs>
          <w:tab w:val="num" w:pos="1276"/>
          <w:tab w:val="num" w:pos="1484"/>
        </w:tabs>
        <w:spacing w:before="120"/>
        <w:ind w:left="1276" w:hanging="283"/>
        <w:jc w:val="both"/>
        <w:rPr>
          <w:sz w:val="22"/>
        </w:rPr>
      </w:pPr>
      <w:r>
        <w:rPr>
          <w:sz w:val="22"/>
        </w:rPr>
        <w:t>présenter un projet d'ordre professionnel et le motiver ;</w:t>
      </w:r>
    </w:p>
    <w:p>
      <w:pPr>
        <w:numPr>
          <w:ilvl w:val="0"/>
          <w:numId w:val="2"/>
        </w:numPr>
        <w:tabs>
          <w:tab w:val="num" w:pos="1276"/>
          <w:tab w:val="num" w:pos="1484"/>
        </w:tabs>
        <w:spacing w:before="120" w:after="120"/>
        <w:ind w:left="1276"/>
        <w:jc w:val="both"/>
        <w:rPr>
          <w:sz w:val="22"/>
        </w:rPr>
      </w:pPr>
      <w:r>
        <w:rPr>
          <w:sz w:val="22"/>
        </w:rPr>
        <w:t>faire un exposé structuré sur un sujet relatif à la vie professionnelle,</w:t>
      </w:r>
    </w:p>
    <w:p>
      <w:pPr>
        <w:pStyle w:val="Retraitcorpsdetexte"/>
        <w:spacing w:before="240"/>
        <w:ind w:left="720"/>
        <w:rPr>
          <w:i/>
          <w:color w:val="auto"/>
        </w:rPr>
      </w:pPr>
      <w:r>
        <w:rPr>
          <w:i/>
          <w:color w:val="auto"/>
        </w:rPr>
        <w:t xml:space="preserve">en respectant la morphosyntaxe, avec une prononciation, une intonation et une accentuation clairement intelligibles. </w:t>
      </w:r>
    </w:p>
    <w:p>
      <w:pPr>
        <w:ind w:left="993"/>
        <w:jc w:val="both"/>
        <w:rPr>
          <w:sz w:val="22"/>
        </w:rPr>
      </w:pPr>
    </w:p>
    <w:p>
      <w:pPr>
        <w:numPr>
          <w:ilvl w:val="0"/>
          <w:numId w:val="1"/>
        </w:numPr>
        <w:ind w:left="993" w:hanging="284"/>
        <w:jc w:val="both"/>
        <w:rPr>
          <w:sz w:val="22"/>
        </w:rPr>
      </w:pPr>
      <w:r>
        <w:rPr>
          <w:sz w:val="22"/>
        </w:rPr>
        <w:t>en production écrite :</w:t>
      </w:r>
    </w:p>
    <w:p>
      <w:pPr>
        <w:ind w:left="709"/>
        <w:jc w:val="both"/>
        <w:rPr>
          <w:sz w:val="22"/>
        </w:rPr>
      </w:pPr>
    </w:p>
    <w:p>
      <w:pPr>
        <w:ind w:left="720"/>
        <w:rPr>
          <w:i/>
          <w:iCs/>
          <w:sz w:val="22"/>
          <w:szCs w:val="22"/>
          <w:lang w:eastAsia="fr-BE"/>
        </w:rPr>
      </w:pPr>
      <w:r>
        <w:rPr>
          <w:i/>
          <w:sz w:val="22"/>
        </w:rPr>
        <w:t>dans un texte suivi et cohérent, en utilisant des connecteurs logiques et chronologiques et</w:t>
      </w:r>
      <w:r>
        <w:rPr>
          <w:i/>
          <w:iCs/>
          <w:sz w:val="22"/>
          <w:szCs w:val="22"/>
          <w:lang w:eastAsia="fr-BE"/>
        </w:rPr>
        <w:t xml:space="preserve"> en respectant la morphosyntaxe,</w:t>
      </w:r>
    </w:p>
    <w:p>
      <w:pPr>
        <w:rPr>
          <w:i/>
          <w:sz w:val="22"/>
        </w:rPr>
      </w:pPr>
    </w:p>
    <w:p>
      <w:pPr>
        <w:numPr>
          <w:ilvl w:val="0"/>
          <w:numId w:val="2"/>
        </w:numPr>
        <w:tabs>
          <w:tab w:val="num" w:pos="1276"/>
          <w:tab w:val="num" w:pos="4254"/>
        </w:tabs>
        <w:spacing w:before="120"/>
        <w:ind w:left="1276" w:hanging="283"/>
        <w:jc w:val="both"/>
        <w:rPr>
          <w:sz w:val="22"/>
        </w:rPr>
      </w:pPr>
      <w:r>
        <w:rPr>
          <w:sz w:val="22"/>
        </w:rPr>
        <w:t>produire des messages variés (par exemple une note, un courriel, un compte-rendu, une synthèse, etc.) en utilisant des termes et expressions d’usage dans les échanges professionnels ;</w:t>
      </w:r>
    </w:p>
    <w:p>
      <w:pPr>
        <w:numPr>
          <w:ilvl w:val="0"/>
          <w:numId w:val="2"/>
        </w:numPr>
        <w:tabs>
          <w:tab w:val="num" w:pos="1276"/>
          <w:tab w:val="num" w:pos="4254"/>
        </w:tabs>
        <w:spacing w:before="120"/>
        <w:ind w:left="1276" w:hanging="283"/>
        <w:jc w:val="both"/>
        <w:rPr>
          <w:sz w:val="22"/>
        </w:rPr>
      </w:pPr>
      <w:r>
        <w:rPr>
          <w:sz w:val="22"/>
        </w:rPr>
        <w:t xml:space="preserve">faire la synthèse d'informations provenant de sources diverses, donner son avis et le motiver ; </w:t>
      </w:r>
    </w:p>
    <w:p>
      <w:pPr>
        <w:numPr>
          <w:ilvl w:val="0"/>
          <w:numId w:val="2"/>
        </w:numPr>
        <w:tabs>
          <w:tab w:val="num" w:pos="1276"/>
          <w:tab w:val="num" w:pos="4254"/>
        </w:tabs>
        <w:spacing w:before="120"/>
        <w:ind w:left="1276" w:hanging="283"/>
        <w:jc w:val="both"/>
        <w:rPr>
          <w:sz w:val="22"/>
        </w:rPr>
      </w:pPr>
      <w:r>
        <w:rPr>
          <w:sz w:val="22"/>
        </w:rPr>
        <w:t>développer une argumentation ;</w:t>
      </w:r>
    </w:p>
    <w:p>
      <w:pPr>
        <w:numPr>
          <w:ilvl w:val="0"/>
          <w:numId w:val="2"/>
        </w:numPr>
        <w:tabs>
          <w:tab w:val="num" w:pos="1276"/>
          <w:tab w:val="num" w:pos="4254"/>
        </w:tabs>
        <w:spacing w:before="120"/>
        <w:ind w:left="1276" w:hanging="283"/>
        <w:jc w:val="both"/>
        <w:rPr>
          <w:sz w:val="22"/>
        </w:rPr>
      </w:pPr>
      <w:r>
        <w:rPr>
          <w:sz w:val="22"/>
        </w:rPr>
        <w:t>rédiger un courrier professionnel (demande d'information, commande, offre, confirmation, plainte, lettre de motivation, etc.) ;</w:t>
      </w:r>
    </w:p>
    <w:p>
      <w:pPr>
        <w:numPr>
          <w:ilvl w:val="0"/>
          <w:numId w:val="2"/>
        </w:numPr>
        <w:tabs>
          <w:tab w:val="num" w:pos="1276"/>
          <w:tab w:val="num" w:pos="4254"/>
        </w:tabs>
        <w:spacing w:before="120"/>
        <w:ind w:left="1276" w:hanging="283"/>
        <w:jc w:val="both"/>
        <w:rPr>
          <w:sz w:val="22"/>
        </w:rPr>
      </w:pPr>
      <w:r>
        <w:rPr>
          <w:sz w:val="22"/>
        </w:rPr>
        <w:t xml:space="preserve">recourir à des stratégies de </w:t>
      </w:r>
      <w:r>
        <w:rPr>
          <w:sz w:val="22"/>
          <w:szCs w:val="22"/>
        </w:rPr>
        <w:t xml:space="preserve">compensation et d'évitement </w:t>
      </w:r>
      <w:r>
        <w:rPr>
          <w:sz w:val="22"/>
        </w:rPr>
        <w:t>qui permettent d'exécuter la tâche avec succès,</w:t>
      </w:r>
    </w:p>
    <w:p>
      <w:pPr>
        <w:ind w:left="1276"/>
        <w:rPr>
          <w:sz w:val="22"/>
        </w:rPr>
      </w:pPr>
    </w:p>
    <w:p>
      <w:pPr>
        <w:ind w:left="720"/>
        <w:rPr>
          <w:i/>
          <w:sz w:val="22"/>
        </w:rPr>
      </w:pPr>
      <w:r>
        <w:rPr>
          <w:i/>
          <w:sz w:val="22"/>
        </w:rPr>
        <w:t xml:space="preserve">dans le cadre de situations professionnelles. </w:t>
      </w:r>
    </w:p>
    <w:p>
      <w:pPr>
        <w:rPr>
          <w:b/>
          <w:sz w:val="22"/>
        </w:rPr>
      </w:pPr>
    </w:p>
    <w:p>
      <w:pPr>
        <w:ind w:left="720"/>
        <w:rPr>
          <w:b/>
          <w:sz w:val="22"/>
        </w:rPr>
      </w:pPr>
    </w:p>
    <w:p>
      <w:pPr>
        <w:ind w:left="720"/>
        <w:rPr>
          <w:b/>
          <w:sz w:val="22"/>
        </w:rPr>
      </w:pPr>
    </w:p>
    <w:p>
      <w:pPr>
        <w:ind w:left="720"/>
        <w:rPr>
          <w:b/>
          <w:sz w:val="22"/>
        </w:rPr>
      </w:pPr>
      <w:r>
        <w:rPr>
          <w:b/>
          <w:sz w:val="22"/>
        </w:rPr>
        <w:lastRenderedPageBreak/>
        <w:t>4.2. Langue appliquée au domaine considéré</w:t>
      </w:r>
    </w:p>
    <w:p>
      <w:pPr>
        <w:tabs>
          <w:tab w:val="num" w:pos="4254"/>
        </w:tabs>
        <w:spacing w:before="120"/>
        <w:jc w:val="both"/>
        <w:rPr>
          <w:sz w:val="22"/>
        </w:rPr>
      </w:pPr>
    </w:p>
    <w:p>
      <w:pPr>
        <w:ind w:left="426"/>
        <w:jc w:val="both"/>
        <w:rPr>
          <w:i/>
          <w:sz w:val="22"/>
        </w:rPr>
      </w:pPr>
      <w:r>
        <w:rPr>
          <w:i/>
          <w:sz w:val="22"/>
        </w:rPr>
        <w:t>L'étudiant sera capable de :</w:t>
      </w:r>
    </w:p>
    <w:p>
      <w:pPr>
        <w:jc w:val="both"/>
        <w:rPr>
          <w:color w:val="FF0000"/>
          <w:sz w:val="22"/>
        </w:rPr>
      </w:pPr>
    </w:p>
    <w:p>
      <w:pPr>
        <w:numPr>
          <w:ilvl w:val="0"/>
          <w:numId w:val="1"/>
        </w:numPr>
        <w:ind w:left="993" w:hanging="284"/>
        <w:jc w:val="both"/>
        <w:rPr>
          <w:sz w:val="22"/>
        </w:rPr>
      </w:pPr>
      <w:r>
        <w:rPr>
          <w:sz w:val="22"/>
        </w:rPr>
        <w:t>en compréhension de l'oral :</w:t>
      </w:r>
    </w:p>
    <w:p>
      <w:pPr>
        <w:ind w:left="993"/>
        <w:jc w:val="both"/>
        <w:rPr>
          <w:sz w:val="22"/>
        </w:rPr>
      </w:pPr>
    </w:p>
    <w:p>
      <w:pPr>
        <w:numPr>
          <w:ilvl w:val="0"/>
          <w:numId w:val="2"/>
        </w:numPr>
        <w:tabs>
          <w:tab w:val="num" w:pos="1276"/>
          <w:tab w:val="num" w:pos="4254"/>
        </w:tabs>
        <w:spacing w:before="120"/>
        <w:ind w:left="1276" w:hanging="283"/>
        <w:jc w:val="both"/>
        <w:rPr>
          <w:sz w:val="22"/>
        </w:rPr>
      </w:pPr>
      <w:r>
        <w:rPr>
          <w:sz w:val="22"/>
        </w:rPr>
        <w:t>comprendre des messages oraux et audio diversifiés utilisés dans des situations professionnelles liées au domaine considéré (économique, informatique, technique, scientifique, artistique, etc.), notamment dans des contextes réels (bruits de fond, accents, changements de rythme et de débit, etc.) ;</w:t>
      </w:r>
    </w:p>
    <w:p>
      <w:pPr>
        <w:numPr>
          <w:ilvl w:val="0"/>
          <w:numId w:val="2"/>
        </w:numPr>
        <w:tabs>
          <w:tab w:val="num" w:pos="1276"/>
          <w:tab w:val="num" w:pos="4254"/>
        </w:tabs>
        <w:spacing w:before="120"/>
        <w:ind w:left="1276" w:hanging="283"/>
        <w:jc w:val="both"/>
        <w:rPr>
          <w:sz w:val="22"/>
        </w:rPr>
      </w:pPr>
      <w:r>
        <w:rPr>
          <w:sz w:val="22"/>
        </w:rPr>
        <w:t xml:space="preserve">comprendre l’information contenue dans des documents multimédia authentiques, actualisés et variés, ayant trait à des sujets liés au domaine professionnel considéré. </w:t>
      </w:r>
    </w:p>
    <w:p>
      <w:pPr>
        <w:tabs>
          <w:tab w:val="num" w:pos="4254"/>
        </w:tabs>
        <w:spacing w:before="120"/>
        <w:jc w:val="both"/>
        <w:rPr>
          <w:sz w:val="22"/>
        </w:rPr>
      </w:pPr>
    </w:p>
    <w:p>
      <w:pPr>
        <w:numPr>
          <w:ilvl w:val="0"/>
          <w:numId w:val="1"/>
        </w:numPr>
        <w:ind w:left="993" w:hanging="284"/>
        <w:jc w:val="both"/>
        <w:rPr>
          <w:sz w:val="22"/>
        </w:rPr>
      </w:pPr>
      <w:r>
        <w:rPr>
          <w:sz w:val="22"/>
        </w:rPr>
        <w:t>en compréhension de l'écrit :</w:t>
      </w:r>
    </w:p>
    <w:p>
      <w:pPr>
        <w:numPr>
          <w:ilvl w:val="0"/>
          <w:numId w:val="2"/>
        </w:numPr>
        <w:tabs>
          <w:tab w:val="num" w:pos="1276"/>
        </w:tabs>
        <w:spacing w:before="240"/>
        <w:ind w:left="1276"/>
        <w:jc w:val="both"/>
        <w:rPr>
          <w:sz w:val="22"/>
        </w:rPr>
      </w:pPr>
      <w:r>
        <w:rPr>
          <w:sz w:val="22"/>
        </w:rPr>
        <w:t>comprendre des messages variés utilisés dans des situations professionnelles liées au domaine considéré (économique, informatique, technique, scientifique, artistique, etc.) ;</w:t>
      </w:r>
    </w:p>
    <w:p>
      <w:pPr>
        <w:numPr>
          <w:ilvl w:val="0"/>
          <w:numId w:val="2"/>
        </w:numPr>
        <w:tabs>
          <w:tab w:val="num" w:pos="1276"/>
        </w:tabs>
        <w:spacing w:before="120"/>
        <w:ind w:left="1276"/>
        <w:jc w:val="both"/>
        <w:rPr>
          <w:sz w:val="22"/>
        </w:rPr>
      </w:pPr>
      <w:r>
        <w:rPr>
          <w:sz w:val="22"/>
        </w:rPr>
        <w:t>comprendre l’information contenue dans des documents authentiques et actualisés ayant trait à des sujets liés au domaine professionnel considéré ;</w:t>
      </w:r>
    </w:p>
    <w:p>
      <w:pPr>
        <w:numPr>
          <w:ilvl w:val="0"/>
          <w:numId w:val="2"/>
        </w:numPr>
        <w:tabs>
          <w:tab w:val="clear" w:pos="1544"/>
          <w:tab w:val="num" w:pos="1276"/>
        </w:tabs>
        <w:spacing w:before="120"/>
        <w:ind w:left="1276" w:hanging="283"/>
        <w:jc w:val="both"/>
        <w:rPr>
          <w:sz w:val="22"/>
        </w:rPr>
      </w:pPr>
      <w:r>
        <w:rPr>
          <w:sz w:val="22"/>
        </w:rPr>
        <w:t>comprendre un texte de type argumentatif.</w:t>
      </w:r>
    </w:p>
    <w:p>
      <w:pPr>
        <w:spacing w:before="120"/>
        <w:jc w:val="both"/>
        <w:rPr>
          <w:sz w:val="22"/>
        </w:rPr>
      </w:pPr>
    </w:p>
    <w:p>
      <w:pPr>
        <w:numPr>
          <w:ilvl w:val="0"/>
          <w:numId w:val="40"/>
        </w:numPr>
        <w:ind w:left="993" w:hanging="284"/>
        <w:jc w:val="both"/>
        <w:rPr>
          <w:sz w:val="22"/>
          <w:szCs w:val="22"/>
        </w:rPr>
      </w:pPr>
      <w:r>
        <w:rPr>
          <w:sz w:val="22"/>
          <w:szCs w:val="22"/>
        </w:rPr>
        <w:t>en interaction orale :</w:t>
      </w:r>
    </w:p>
    <w:p>
      <w:pPr>
        <w:jc w:val="both"/>
        <w:rPr>
          <w:i/>
          <w:iCs/>
          <w:sz w:val="22"/>
          <w:szCs w:val="22"/>
        </w:rPr>
      </w:pPr>
    </w:p>
    <w:p>
      <w:pPr>
        <w:ind w:left="720"/>
        <w:jc w:val="both"/>
        <w:rPr>
          <w:b/>
          <w:i/>
          <w:iCs/>
          <w:sz w:val="22"/>
          <w:szCs w:val="22"/>
        </w:rPr>
      </w:pPr>
      <w:r>
        <w:rPr>
          <w:i/>
          <w:iCs/>
          <w:sz w:val="22"/>
          <w:szCs w:val="22"/>
        </w:rPr>
        <w:t>dans des simulations de situations professionnelles liées au domaine considéré</w:t>
      </w:r>
      <w:r>
        <w:rPr>
          <w:b/>
          <w:i/>
          <w:iCs/>
          <w:sz w:val="22"/>
          <w:szCs w:val="22"/>
        </w:rPr>
        <w:t>,</w:t>
      </w:r>
    </w:p>
    <w:p>
      <w:pPr>
        <w:ind w:left="993"/>
        <w:jc w:val="both"/>
        <w:rPr>
          <w:sz w:val="22"/>
          <w:szCs w:val="22"/>
        </w:rPr>
      </w:pPr>
    </w:p>
    <w:p>
      <w:pPr>
        <w:numPr>
          <w:ilvl w:val="0"/>
          <w:numId w:val="2"/>
        </w:numPr>
        <w:tabs>
          <w:tab w:val="num" w:pos="1276"/>
          <w:tab w:val="num" w:pos="4254"/>
        </w:tabs>
        <w:spacing w:before="120"/>
        <w:ind w:left="1276" w:hanging="283"/>
        <w:jc w:val="both"/>
        <w:rPr>
          <w:sz w:val="22"/>
          <w:szCs w:val="22"/>
        </w:rPr>
      </w:pPr>
      <w:r>
        <w:rPr>
          <w:sz w:val="22"/>
          <w:szCs w:val="22"/>
        </w:rPr>
        <w:t>intervenir avec aisance dans des échanges (réagir adéquatement aux propos d'autres interlocuteurs, reformuler leurs propos pour confirmer la compréhension mutuelle, faire des suggestions, exprimer  ses convictions, son accord ou son désaccord, proposer des solutions à un problème, etc.)  en utilisant des termes et expressions spécifiques au domaine considéré ;</w:t>
      </w:r>
    </w:p>
    <w:p>
      <w:pPr>
        <w:numPr>
          <w:ilvl w:val="0"/>
          <w:numId w:val="2"/>
        </w:numPr>
        <w:tabs>
          <w:tab w:val="num" w:pos="1276"/>
          <w:tab w:val="num" w:pos="4254"/>
        </w:tabs>
        <w:spacing w:before="120"/>
        <w:ind w:left="1276" w:hanging="283"/>
        <w:jc w:val="both"/>
        <w:rPr>
          <w:sz w:val="22"/>
          <w:szCs w:val="22"/>
        </w:rPr>
      </w:pPr>
      <w:r>
        <w:rPr>
          <w:sz w:val="22"/>
          <w:szCs w:val="22"/>
        </w:rPr>
        <w:t>échanger des informations ;</w:t>
      </w:r>
    </w:p>
    <w:p>
      <w:pPr>
        <w:numPr>
          <w:ilvl w:val="0"/>
          <w:numId w:val="2"/>
        </w:numPr>
        <w:tabs>
          <w:tab w:val="num" w:pos="1276"/>
          <w:tab w:val="num" w:pos="4254"/>
        </w:tabs>
        <w:spacing w:before="120"/>
        <w:ind w:left="1276" w:hanging="283"/>
        <w:jc w:val="both"/>
        <w:rPr>
          <w:sz w:val="22"/>
          <w:szCs w:val="22"/>
        </w:rPr>
      </w:pPr>
      <w:r>
        <w:rPr>
          <w:sz w:val="22"/>
          <w:szCs w:val="22"/>
        </w:rPr>
        <w:t>argumenter pour convaincre son interlocuteur,</w:t>
      </w:r>
    </w:p>
    <w:p>
      <w:pPr>
        <w:jc w:val="both"/>
        <w:rPr>
          <w:i/>
          <w:sz w:val="22"/>
        </w:rPr>
      </w:pPr>
    </w:p>
    <w:p>
      <w:pPr>
        <w:tabs>
          <w:tab w:val="num" w:pos="4254"/>
        </w:tabs>
        <w:ind w:left="720"/>
        <w:jc w:val="both"/>
        <w:rPr>
          <w:i/>
          <w:sz w:val="22"/>
          <w:szCs w:val="22"/>
        </w:rPr>
      </w:pPr>
      <w:r>
        <w:rPr>
          <w:i/>
          <w:sz w:val="22"/>
          <w:szCs w:val="22"/>
        </w:rPr>
        <w:t>en intervenant de manière spontanée,</w:t>
      </w:r>
    </w:p>
    <w:p>
      <w:pPr>
        <w:tabs>
          <w:tab w:val="num" w:pos="4254"/>
        </w:tabs>
        <w:ind w:left="720"/>
        <w:jc w:val="both"/>
        <w:rPr>
          <w:i/>
          <w:sz w:val="22"/>
          <w:szCs w:val="22"/>
        </w:rPr>
      </w:pPr>
      <w:r>
        <w:rPr>
          <w:i/>
          <w:sz w:val="22"/>
          <w:szCs w:val="22"/>
        </w:rPr>
        <w:t xml:space="preserve">en respectant la morphosyntaxe, </w:t>
      </w:r>
    </w:p>
    <w:p>
      <w:pPr>
        <w:tabs>
          <w:tab w:val="num" w:pos="4254"/>
        </w:tabs>
        <w:ind w:left="720"/>
        <w:jc w:val="both"/>
        <w:rPr>
          <w:i/>
        </w:rPr>
      </w:pPr>
      <w:r>
        <w:rPr>
          <w:i/>
          <w:sz w:val="22"/>
          <w:szCs w:val="22"/>
        </w:rPr>
        <w:t>avec une prononciation, une intonation et une accentuation clairement intelligibles</w:t>
      </w:r>
      <w:r>
        <w:rPr>
          <w:i/>
        </w:rPr>
        <w:t xml:space="preserve">. </w:t>
      </w:r>
    </w:p>
    <w:p>
      <w:pPr>
        <w:jc w:val="both"/>
        <w:rPr>
          <w:i/>
          <w:sz w:val="22"/>
        </w:rPr>
      </w:pPr>
    </w:p>
    <w:p>
      <w:pPr>
        <w:numPr>
          <w:ilvl w:val="0"/>
          <w:numId w:val="40"/>
        </w:numPr>
        <w:ind w:left="993" w:hanging="284"/>
        <w:jc w:val="both"/>
        <w:rPr>
          <w:sz w:val="22"/>
        </w:rPr>
      </w:pPr>
      <w:r>
        <w:rPr>
          <w:sz w:val="22"/>
        </w:rPr>
        <w:t>en production écrite :</w:t>
      </w:r>
    </w:p>
    <w:p>
      <w:pPr>
        <w:rPr>
          <w:i/>
          <w:sz w:val="22"/>
        </w:rPr>
      </w:pPr>
    </w:p>
    <w:p>
      <w:pPr>
        <w:numPr>
          <w:ilvl w:val="0"/>
          <w:numId w:val="2"/>
        </w:numPr>
        <w:tabs>
          <w:tab w:val="num" w:pos="1276"/>
          <w:tab w:val="num" w:pos="4254"/>
        </w:tabs>
        <w:spacing w:before="120"/>
        <w:ind w:left="1276" w:hanging="283"/>
        <w:jc w:val="both"/>
        <w:rPr>
          <w:sz w:val="22"/>
        </w:rPr>
      </w:pPr>
      <w:r>
        <w:rPr>
          <w:sz w:val="22"/>
        </w:rPr>
        <w:t>produire un texte suivi et cohérent en utilisant des termes et expressions d’usage dans les échanges professionnels ainsi que le vocabulaire spécifique au domaine considéré (économique, informatique, technique, scientifique, artistique, etc.) ;</w:t>
      </w:r>
    </w:p>
    <w:p>
      <w:pPr>
        <w:numPr>
          <w:ilvl w:val="0"/>
          <w:numId w:val="2"/>
        </w:numPr>
        <w:tabs>
          <w:tab w:val="num" w:pos="1276"/>
          <w:tab w:val="num" w:pos="4254"/>
        </w:tabs>
        <w:spacing w:before="120"/>
        <w:ind w:left="1276" w:hanging="283"/>
        <w:jc w:val="both"/>
        <w:rPr>
          <w:sz w:val="22"/>
        </w:rPr>
      </w:pPr>
      <w:r>
        <w:rPr>
          <w:sz w:val="22"/>
        </w:rPr>
        <w:t>émettre un point de vue sur un sujet relatif au domaine professionnel considéré en argumentant,</w:t>
      </w:r>
    </w:p>
    <w:p>
      <w:pPr>
        <w:jc w:val="both"/>
        <w:rPr>
          <w:i/>
          <w:sz w:val="22"/>
        </w:rPr>
      </w:pPr>
    </w:p>
    <w:p>
      <w:pPr>
        <w:jc w:val="both"/>
        <w:rPr>
          <w:i/>
          <w:iCs/>
          <w:sz w:val="22"/>
          <w:szCs w:val="22"/>
          <w:lang w:eastAsia="fr-BE"/>
        </w:rPr>
      </w:pPr>
      <w:r>
        <w:rPr>
          <w:i/>
          <w:sz w:val="22"/>
        </w:rPr>
        <w:t xml:space="preserve">           </w:t>
      </w:r>
      <w:r>
        <w:rPr>
          <w:i/>
          <w:iCs/>
          <w:sz w:val="22"/>
          <w:szCs w:val="22"/>
          <w:lang w:eastAsia="fr-BE"/>
        </w:rPr>
        <w:t>en respectant la morphosyntaxe.</w:t>
      </w:r>
    </w:p>
    <w:p>
      <w:pPr>
        <w:jc w:val="both"/>
        <w:rPr>
          <w:i/>
          <w:iCs/>
          <w:sz w:val="22"/>
          <w:szCs w:val="22"/>
          <w:lang w:eastAsia="fr-BE"/>
        </w:rPr>
      </w:pPr>
    </w:p>
    <w:p>
      <w:pPr>
        <w:keepNext/>
        <w:widowControl w:val="0"/>
        <w:rPr>
          <w:sz w:val="22"/>
        </w:rPr>
      </w:pPr>
      <w:r>
        <w:rPr>
          <w:b/>
          <w:sz w:val="22"/>
        </w:rPr>
        <w:lastRenderedPageBreak/>
        <w:t>Champs thématiques et comportements langagiers pour les deux activités d’enseignement (4.1 et 4.2)</w:t>
      </w:r>
    </w:p>
    <w:p>
      <w:pPr>
        <w:keepNext/>
        <w:widowControl w:val="0"/>
        <w:spacing w:before="120"/>
        <w:jc w:val="both"/>
        <w:rPr>
          <w:sz w:val="22"/>
        </w:rPr>
      </w:pPr>
    </w:p>
    <w:p>
      <w:pPr>
        <w:keepNext/>
        <w:widowControl w:val="0"/>
        <w:spacing w:before="120" w:line="276" w:lineRule="auto"/>
        <w:jc w:val="both"/>
        <w:rPr>
          <w:sz w:val="22"/>
        </w:rPr>
      </w:pPr>
      <w:r>
        <w:rPr>
          <w:sz w:val="22"/>
        </w:rPr>
        <w:t xml:space="preserve">Les listes de champs thématiques généraux, des thèmes liés à la vie en entreprise et des thèmes spécifiques sont des outils mis à la disposition des enseignants. Ils peuvent y puiser des thèmes en fonction du niveau de langue et des spécificités du public auquel ils s’adressent. </w:t>
      </w:r>
      <w:r>
        <w:rPr>
          <w:b/>
          <w:sz w:val="22"/>
        </w:rPr>
        <w:t>Ces listes ne sont ni exhaustives, ni contraignantes.</w:t>
      </w:r>
      <w:r>
        <w:rPr>
          <w:sz w:val="22"/>
        </w:rPr>
        <w:t xml:space="preserve"> </w:t>
      </w:r>
    </w:p>
    <w:p>
      <w:pPr>
        <w:keepNext/>
        <w:widowControl w:val="0"/>
        <w:spacing w:before="120" w:line="276" w:lineRule="auto"/>
        <w:jc w:val="both"/>
        <w:rPr>
          <w:sz w:val="22"/>
        </w:rPr>
      </w:pPr>
      <w:r>
        <w:rPr>
          <w:sz w:val="22"/>
        </w:rPr>
        <w:t>Chacun des thèmes est décliné en termes de comportements langagiers (à l’oral et à l’écrit).</w:t>
      </w:r>
    </w:p>
    <w:p>
      <w:pPr>
        <w:rPr>
          <w:b/>
          <w:sz w:val="22"/>
        </w:rPr>
      </w:pPr>
    </w:p>
    <w:p>
      <w:pPr>
        <w:pStyle w:val="Paragraphedeliste"/>
        <w:keepNext/>
        <w:widowControl w:val="0"/>
        <w:numPr>
          <w:ilvl w:val="0"/>
          <w:numId w:val="46"/>
        </w:numPr>
        <w:rPr>
          <w:b/>
          <w:sz w:val="22"/>
        </w:rPr>
      </w:pPr>
      <w:r>
        <w:rPr>
          <w:b/>
          <w:sz w:val="22"/>
        </w:rPr>
        <w:t xml:space="preserve">Thèmes généraux  </w:t>
      </w:r>
    </w:p>
    <w:p>
      <w:pPr>
        <w:keepNext/>
        <w:widowControl w:val="0"/>
        <w:rPr>
          <w:b/>
          <w:sz w:val="22"/>
        </w:rPr>
      </w:pPr>
    </w:p>
    <w:p>
      <w:pPr>
        <w:numPr>
          <w:ilvl w:val="0"/>
          <w:numId w:val="24"/>
        </w:numPr>
        <w:spacing w:before="120"/>
        <w:jc w:val="both"/>
        <w:textAlignment w:val="auto"/>
        <w:rPr>
          <w:rFonts w:ascii="Times" w:hAnsi="Times" w:cs="Times"/>
          <w:sz w:val="22"/>
        </w:rPr>
      </w:pPr>
      <w:r>
        <w:rPr>
          <w:rFonts w:ascii="Times" w:hAnsi="Times" w:cs="Times"/>
          <w:sz w:val="22"/>
        </w:rPr>
        <w:t>Données personnelles</w:t>
      </w:r>
    </w:p>
    <w:p>
      <w:pPr>
        <w:numPr>
          <w:ilvl w:val="0"/>
          <w:numId w:val="24"/>
        </w:numPr>
        <w:spacing w:before="120"/>
        <w:jc w:val="both"/>
        <w:textAlignment w:val="auto"/>
        <w:rPr>
          <w:rFonts w:ascii="Times" w:hAnsi="Times" w:cs="Times"/>
          <w:sz w:val="22"/>
        </w:rPr>
      </w:pPr>
      <w:r>
        <w:rPr>
          <w:rFonts w:ascii="Times" w:hAnsi="Times" w:cs="Times"/>
          <w:sz w:val="22"/>
        </w:rPr>
        <w:t>Services</w:t>
      </w:r>
    </w:p>
    <w:p>
      <w:pPr>
        <w:numPr>
          <w:ilvl w:val="0"/>
          <w:numId w:val="24"/>
        </w:numPr>
        <w:spacing w:before="120"/>
        <w:jc w:val="both"/>
        <w:textAlignment w:val="auto"/>
        <w:rPr>
          <w:rFonts w:ascii="Times" w:hAnsi="Times" w:cs="Times"/>
          <w:sz w:val="22"/>
        </w:rPr>
      </w:pPr>
      <w:r>
        <w:rPr>
          <w:rFonts w:ascii="Times" w:hAnsi="Times" w:cs="Times"/>
          <w:sz w:val="22"/>
        </w:rPr>
        <w:t>Perception et activité sensorimotrice</w:t>
      </w:r>
    </w:p>
    <w:p>
      <w:pPr>
        <w:numPr>
          <w:ilvl w:val="0"/>
          <w:numId w:val="24"/>
        </w:numPr>
        <w:spacing w:before="120"/>
        <w:jc w:val="both"/>
        <w:textAlignment w:val="auto"/>
        <w:rPr>
          <w:rFonts w:ascii="Times" w:hAnsi="Times" w:cs="Times"/>
          <w:sz w:val="22"/>
        </w:rPr>
      </w:pPr>
      <w:r>
        <w:rPr>
          <w:rFonts w:ascii="Times" w:hAnsi="Times" w:cs="Times"/>
          <w:sz w:val="22"/>
        </w:rPr>
        <w:t>Relations personnelles et contacts avec autrui</w:t>
      </w:r>
    </w:p>
    <w:p>
      <w:pPr>
        <w:numPr>
          <w:ilvl w:val="0"/>
          <w:numId w:val="24"/>
        </w:numPr>
        <w:spacing w:before="120"/>
        <w:jc w:val="both"/>
        <w:textAlignment w:val="auto"/>
        <w:rPr>
          <w:rFonts w:ascii="Times" w:hAnsi="Times" w:cs="Times"/>
          <w:sz w:val="22"/>
        </w:rPr>
      </w:pPr>
      <w:r>
        <w:rPr>
          <w:rFonts w:ascii="Times" w:hAnsi="Times" w:cs="Times"/>
          <w:sz w:val="22"/>
        </w:rPr>
        <w:t>Enseignement et formation</w:t>
      </w:r>
    </w:p>
    <w:p>
      <w:pPr>
        <w:numPr>
          <w:ilvl w:val="0"/>
          <w:numId w:val="24"/>
        </w:numPr>
        <w:spacing w:before="120"/>
        <w:jc w:val="both"/>
        <w:textAlignment w:val="auto"/>
        <w:rPr>
          <w:rFonts w:ascii="Times" w:hAnsi="Times" w:cs="Times"/>
          <w:sz w:val="22"/>
        </w:rPr>
      </w:pPr>
      <w:r>
        <w:rPr>
          <w:rFonts w:ascii="Times" w:hAnsi="Times" w:cs="Times"/>
          <w:sz w:val="22"/>
        </w:rPr>
        <w:t>Langues</w:t>
      </w:r>
    </w:p>
    <w:p>
      <w:pPr>
        <w:numPr>
          <w:ilvl w:val="0"/>
          <w:numId w:val="24"/>
        </w:numPr>
        <w:spacing w:before="120"/>
        <w:jc w:val="both"/>
        <w:textAlignment w:val="auto"/>
        <w:rPr>
          <w:rFonts w:ascii="Times" w:hAnsi="Times" w:cs="Times"/>
          <w:sz w:val="22"/>
        </w:rPr>
      </w:pPr>
      <w:r>
        <w:rPr>
          <w:rFonts w:ascii="Times" w:hAnsi="Times" w:cs="Times"/>
          <w:sz w:val="22"/>
        </w:rPr>
        <w:t>Culture et société</w:t>
      </w:r>
    </w:p>
    <w:p>
      <w:pPr>
        <w:numPr>
          <w:ilvl w:val="0"/>
          <w:numId w:val="24"/>
        </w:numPr>
        <w:spacing w:before="120"/>
        <w:jc w:val="both"/>
        <w:textAlignment w:val="auto"/>
        <w:rPr>
          <w:rFonts w:ascii="Times" w:hAnsi="Times" w:cs="Times"/>
          <w:sz w:val="22"/>
        </w:rPr>
      </w:pPr>
      <w:r>
        <w:rPr>
          <w:rFonts w:ascii="Times" w:hAnsi="Times" w:cs="Times"/>
          <w:sz w:val="22"/>
        </w:rPr>
        <w:t>Etc.</w:t>
      </w:r>
    </w:p>
    <w:p>
      <w:pPr>
        <w:spacing w:before="120"/>
        <w:rPr>
          <w:rFonts w:ascii="Times" w:hAnsi="Times"/>
          <w:b/>
          <w:sz w:val="22"/>
        </w:rPr>
      </w:pPr>
    </w:p>
    <w:p>
      <w:pPr>
        <w:pStyle w:val="Paragraphedeliste"/>
        <w:numPr>
          <w:ilvl w:val="0"/>
          <w:numId w:val="28"/>
        </w:numPr>
        <w:snapToGrid w:val="0"/>
        <w:rPr>
          <w:rFonts w:ascii="Times" w:hAnsi="Times"/>
          <w:b/>
          <w:sz w:val="22"/>
          <w:szCs w:val="22"/>
        </w:rPr>
      </w:pPr>
      <w:r>
        <w:rPr>
          <w:rFonts w:ascii="Times" w:hAnsi="Times"/>
          <w:b/>
          <w:sz w:val="22"/>
          <w:szCs w:val="22"/>
        </w:rPr>
        <w:t xml:space="preserve"> Données personnelles</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Nom, prénom, adresse, n° de téléphone, lieu et date de naissance, âge, sexe, état civil, famille, nationalité, origine</w:t>
            </w:r>
          </w:p>
        </w:tc>
        <w:tc>
          <w:tcPr>
            <w:tcW w:w="5529" w:type="dxa"/>
            <w:tcBorders>
              <w:top w:val="single" w:sz="4" w:space="0" w:color="auto"/>
              <w:left w:val="single" w:sz="4" w:space="0" w:color="000000"/>
              <w:bottom w:val="single" w:sz="4" w:space="0" w:color="000000"/>
              <w:right w:val="single" w:sz="4" w:space="0" w:color="000000"/>
            </w:tcBorders>
            <w:vAlign w:val="center"/>
          </w:tcPr>
          <w:p>
            <w:pPr>
              <w:numPr>
                <w:ilvl w:val="2"/>
                <w:numId w:val="25"/>
              </w:numPr>
              <w:overflowPunct/>
              <w:autoSpaceDE/>
              <w:adjustRightInd/>
              <w:spacing w:before="120" w:after="120"/>
              <w:textAlignment w:val="auto"/>
              <w:rPr>
                <w:bCs/>
                <w:sz w:val="22"/>
              </w:rPr>
            </w:pPr>
            <w:r>
              <w:rPr>
                <w:bCs/>
                <w:sz w:val="22"/>
              </w:rPr>
              <w:t>participer à une conversation générale et parler de son environnement familial, social et professionnel</w:t>
            </w:r>
          </w:p>
        </w:tc>
      </w:tr>
      <w:tr>
        <w:tc>
          <w:tcPr>
            <w:tcW w:w="4253" w:type="dxa"/>
            <w:tcBorders>
              <w:left w:val="single" w:sz="4" w:space="0" w:color="000000"/>
              <w:bottom w:val="single" w:sz="4" w:space="0" w:color="000000"/>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Centres d’intérêt et hobbies</w:t>
            </w:r>
          </w:p>
        </w:tc>
        <w:tc>
          <w:tcPr>
            <w:tcW w:w="5529" w:type="dxa"/>
            <w:tcBorders>
              <w:left w:val="single" w:sz="4" w:space="0" w:color="000000"/>
              <w:bottom w:val="single" w:sz="4" w:space="0" w:color="000000"/>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participer activement à une conversation générale sur les loisirs</w:t>
            </w:r>
          </w:p>
        </w:tc>
      </w:tr>
      <w:tr>
        <w:tc>
          <w:tcPr>
            <w:tcW w:w="4253" w:type="dxa"/>
            <w:tcBorders>
              <w:left w:val="single" w:sz="4" w:space="0" w:color="000000"/>
              <w:bottom w:val="single" w:sz="4" w:space="0" w:color="auto"/>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Aspect physique, caractère, tempérament</w:t>
            </w:r>
          </w:p>
        </w:tc>
        <w:tc>
          <w:tcPr>
            <w:tcW w:w="5529" w:type="dxa"/>
            <w:tcBorders>
              <w:left w:val="single" w:sz="4" w:space="0" w:color="000000"/>
              <w:bottom w:val="single" w:sz="4" w:space="0" w:color="auto"/>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donner une description de l’aspect physique et du caractère de quelqu’un</w:t>
            </w:r>
          </w:p>
        </w:tc>
      </w:tr>
    </w:tbl>
    <w:p>
      <w:pPr>
        <w:ind w:left="355" w:hanging="355"/>
        <w:rPr>
          <w:sz w:val="22"/>
          <w:szCs w:val="22"/>
        </w:rPr>
      </w:pPr>
    </w:p>
    <w:p>
      <w:pPr>
        <w:pStyle w:val="Paragraphedeliste"/>
        <w:numPr>
          <w:ilvl w:val="0"/>
          <w:numId w:val="28"/>
        </w:numPr>
        <w:rPr>
          <w:rFonts w:ascii="Times" w:hAnsi="Times"/>
          <w:b/>
          <w:sz w:val="22"/>
          <w:szCs w:val="22"/>
        </w:rPr>
      </w:pPr>
      <w:r>
        <w:rPr>
          <w:rFonts w:ascii="Times" w:hAnsi="Times"/>
          <w:b/>
          <w:sz w:val="22"/>
          <w:szCs w:val="22"/>
        </w:rPr>
        <w:t xml:space="preserve"> Services</w:t>
      </w:r>
    </w:p>
    <w:p>
      <w:pPr>
        <w:rPr>
          <w:b/>
        </w:rPr>
      </w:pPr>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Communication  (téléphone, correspondance écrite, électronique, etc.)</w:t>
            </w:r>
          </w:p>
        </w:tc>
        <w:tc>
          <w:tcPr>
            <w:tcW w:w="5529" w:type="dxa"/>
            <w:tcBorders>
              <w:top w:val="single" w:sz="4" w:space="0" w:color="auto"/>
              <w:left w:val="single" w:sz="4" w:space="0" w:color="000000"/>
              <w:bottom w:val="single" w:sz="4" w:space="0" w:color="000000"/>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formuler une réclamation ou une plainte</w:t>
            </w:r>
          </w:p>
          <w:p>
            <w:pPr>
              <w:widowControl w:val="0"/>
              <w:numPr>
                <w:ilvl w:val="0"/>
                <w:numId w:val="26"/>
              </w:numPr>
              <w:suppressAutoHyphens/>
              <w:overflowPunct/>
              <w:autoSpaceDE/>
              <w:autoSpaceDN/>
              <w:adjustRightInd/>
              <w:snapToGrid w:val="0"/>
              <w:textAlignment w:val="auto"/>
              <w:rPr>
                <w:sz w:val="22"/>
                <w:szCs w:val="22"/>
              </w:rPr>
            </w:pPr>
            <w:r>
              <w:rPr>
                <w:sz w:val="22"/>
                <w:szCs w:val="22"/>
              </w:rPr>
              <w:t>relayer le mécontentement ou la satisfaction des clients</w:t>
            </w:r>
          </w:p>
          <w:p>
            <w:pPr>
              <w:widowControl w:val="0"/>
              <w:numPr>
                <w:ilvl w:val="0"/>
                <w:numId w:val="26"/>
              </w:numPr>
              <w:suppressAutoHyphens/>
              <w:overflowPunct/>
              <w:autoSpaceDE/>
              <w:autoSpaceDN/>
              <w:adjustRightInd/>
              <w:snapToGrid w:val="0"/>
              <w:textAlignment w:val="auto"/>
              <w:rPr>
                <w:sz w:val="22"/>
                <w:szCs w:val="22"/>
              </w:rPr>
            </w:pPr>
            <w:r>
              <w:rPr>
                <w:sz w:val="22"/>
                <w:szCs w:val="22"/>
              </w:rPr>
              <w:t>formuler des félicitations ou des remerciements</w:t>
            </w:r>
          </w:p>
          <w:p>
            <w:pPr>
              <w:widowControl w:val="0"/>
              <w:numPr>
                <w:ilvl w:val="0"/>
                <w:numId w:val="26"/>
              </w:numPr>
              <w:suppressAutoHyphens/>
              <w:overflowPunct/>
              <w:autoSpaceDE/>
              <w:autoSpaceDN/>
              <w:adjustRightInd/>
              <w:snapToGrid w:val="0"/>
              <w:textAlignment w:val="auto"/>
              <w:rPr>
                <w:sz w:val="22"/>
                <w:szCs w:val="22"/>
              </w:rPr>
            </w:pPr>
            <w:r>
              <w:rPr>
                <w:sz w:val="22"/>
                <w:szCs w:val="22"/>
              </w:rPr>
              <w:t xml:space="preserve">participer à l’élaboration de questionnaires, de formulaires, etc. </w:t>
            </w:r>
          </w:p>
        </w:tc>
      </w:tr>
      <w:tr>
        <w:tc>
          <w:tcPr>
            <w:tcW w:w="4253" w:type="dxa"/>
            <w:tcBorders>
              <w:left w:val="single" w:sz="4" w:space="0" w:color="000000"/>
              <w:bottom w:val="single" w:sz="4" w:space="0" w:color="000000"/>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Banque et assurances</w:t>
            </w:r>
          </w:p>
        </w:tc>
        <w:tc>
          <w:tcPr>
            <w:tcW w:w="5529" w:type="dxa"/>
            <w:tcBorders>
              <w:left w:val="single" w:sz="4" w:space="0" w:color="000000"/>
              <w:bottom w:val="single" w:sz="4" w:space="0" w:color="000000"/>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exposer un problème oralement ou par écrit, de manière argumentée</w:t>
            </w:r>
          </w:p>
        </w:tc>
      </w:tr>
    </w:tbl>
    <w:p/>
    <w:p>
      <w:pPr>
        <w:pStyle w:val="Paragraphedeliste"/>
        <w:numPr>
          <w:ilvl w:val="0"/>
          <w:numId w:val="28"/>
        </w:numPr>
        <w:snapToGrid w:val="0"/>
        <w:rPr>
          <w:b/>
          <w:iCs/>
          <w:sz w:val="22"/>
          <w:szCs w:val="22"/>
        </w:rPr>
      </w:pPr>
      <w:r>
        <w:rPr>
          <w:b/>
          <w:iCs/>
          <w:sz w:val="22"/>
          <w:szCs w:val="22"/>
        </w:rPr>
        <w:t xml:space="preserve"> Perception et activité sensorimotrice </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 xml:space="preserve">Organisation spatio-temporelle                                        </w:t>
            </w:r>
          </w:p>
          <w:p>
            <w:pPr>
              <w:rPr>
                <w:sz w:val="22"/>
                <w:szCs w:val="22"/>
              </w:rPr>
            </w:pPr>
          </w:p>
        </w:tc>
        <w:tc>
          <w:tcPr>
            <w:tcW w:w="5529" w:type="dxa"/>
            <w:tcBorders>
              <w:top w:val="single" w:sz="4" w:space="0" w:color="auto"/>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argumenter sur le choix d’un itinéraire</w:t>
            </w:r>
          </w:p>
          <w:p>
            <w:pPr>
              <w:widowControl w:val="0"/>
              <w:numPr>
                <w:ilvl w:val="0"/>
                <w:numId w:val="26"/>
              </w:numPr>
              <w:suppressAutoHyphens/>
              <w:overflowPunct/>
              <w:autoSpaceDE/>
              <w:autoSpaceDN/>
              <w:adjustRightInd/>
              <w:snapToGrid w:val="0"/>
              <w:textAlignment w:val="auto"/>
              <w:rPr>
                <w:sz w:val="22"/>
                <w:szCs w:val="22"/>
              </w:rPr>
            </w:pPr>
            <w:r>
              <w:rPr>
                <w:sz w:val="22"/>
                <w:szCs w:val="22"/>
              </w:rPr>
              <w:t>planifier une activité et justifier cette planification</w:t>
            </w:r>
          </w:p>
        </w:tc>
      </w:tr>
      <w:tr>
        <w:tc>
          <w:tcPr>
            <w:tcW w:w="4253" w:type="dxa"/>
            <w:tcBorders>
              <w:left w:val="single" w:sz="4" w:space="0" w:color="000000"/>
              <w:bottom w:val="single" w:sz="4" w:space="0" w:color="auto"/>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 xml:space="preserve">Perception sensorielle (vue, ouïe, odorat, goût, toucher)  </w:t>
            </w:r>
          </w:p>
        </w:tc>
        <w:tc>
          <w:tcPr>
            <w:tcW w:w="5529" w:type="dxa"/>
            <w:tcBorders>
              <w:left w:val="single" w:sz="4" w:space="0" w:color="000000"/>
              <w:bottom w:val="single" w:sz="4" w:space="0" w:color="auto"/>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 xml:space="preserve">décrire ce que l’on perçoit  </w:t>
            </w:r>
          </w:p>
        </w:tc>
      </w:tr>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lastRenderedPageBreak/>
              <w:t>Actes et gestes</w:t>
            </w:r>
          </w:p>
          <w:p>
            <w:pPr>
              <w:ind w:left="567"/>
              <w:rPr>
                <w:sz w:val="22"/>
                <w:szCs w:val="22"/>
              </w:rPr>
            </w:pPr>
          </w:p>
        </w:tc>
        <w:tc>
          <w:tcPr>
            <w:tcW w:w="5529" w:type="dxa"/>
            <w:tcBorders>
              <w:top w:val="single" w:sz="4" w:space="0" w:color="auto"/>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donner des instructions relatives au maniement des objets</w:t>
            </w:r>
          </w:p>
        </w:tc>
      </w:tr>
    </w:tbl>
    <w:p>
      <w:pPr>
        <w:rPr>
          <w:sz w:val="22"/>
          <w:szCs w:val="22"/>
        </w:rPr>
      </w:pPr>
    </w:p>
    <w:p>
      <w:pPr>
        <w:pStyle w:val="Paragraphedeliste"/>
        <w:numPr>
          <w:ilvl w:val="0"/>
          <w:numId w:val="28"/>
        </w:numPr>
        <w:rPr>
          <w:b/>
          <w:iCs/>
          <w:sz w:val="22"/>
          <w:szCs w:val="22"/>
        </w:rPr>
      </w:pPr>
      <w:r>
        <w:rPr>
          <w:b/>
          <w:iCs/>
          <w:sz w:val="22"/>
          <w:szCs w:val="22"/>
        </w:rPr>
        <w:t xml:space="preserve"> Relations personnelles, contacts avec autrui</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Nature des relations personnelle </w:t>
            </w:r>
          </w:p>
        </w:tc>
        <w:tc>
          <w:tcPr>
            <w:tcW w:w="5529" w:type="dxa"/>
            <w:tcBorders>
              <w:top w:val="single" w:sz="4" w:space="0" w:color="auto"/>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exprimer et justifier ses sympathies, antipathies</w:t>
            </w:r>
          </w:p>
        </w:tc>
      </w:tr>
    </w:tbl>
    <w:p>
      <w:pPr>
        <w:rPr>
          <w:b/>
          <w:spacing w:val="-2"/>
          <w:sz w:val="22"/>
          <w:szCs w:val="22"/>
        </w:rPr>
      </w:pPr>
    </w:p>
    <w:p>
      <w:pPr>
        <w:pStyle w:val="Paragraphedeliste"/>
        <w:numPr>
          <w:ilvl w:val="0"/>
          <w:numId w:val="28"/>
        </w:numPr>
        <w:rPr>
          <w:b/>
          <w:iCs/>
          <w:sz w:val="22"/>
          <w:szCs w:val="22"/>
        </w:rPr>
      </w:pPr>
      <w:r>
        <w:rPr>
          <w:b/>
          <w:iCs/>
          <w:sz w:val="22"/>
          <w:szCs w:val="22"/>
        </w:rPr>
        <w:t xml:space="preserve"> Enseignement, formation</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c>
          <w:tcPr>
            <w:tcW w:w="4253" w:type="dxa"/>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Ecoles et études</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parler de formations scolaires et professionnelles</w:t>
            </w:r>
          </w:p>
        </w:tc>
      </w:tr>
      <w:tr>
        <w:tc>
          <w:tcPr>
            <w:tcW w:w="4253" w:type="dxa"/>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Examens, diplômes</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citer les diplômes et certificats que l’on a obtenus, les examens que l’on a passés ou que l’on prépare</w:t>
            </w:r>
          </w:p>
        </w:tc>
      </w:tr>
    </w:tbl>
    <w:p>
      <w:pPr>
        <w:rPr>
          <w:b/>
          <w:spacing w:val="-2"/>
          <w:sz w:val="22"/>
          <w:szCs w:val="22"/>
        </w:rPr>
      </w:pPr>
    </w:p>
    <w:p>
      <w:pPr>
        <w:pStyle w:val="Paragraphedeliste"/>
        <w:numPr>
          <w:ilvl w:val="0"/>
          <w:numId w:val="28"/>
        </w:numPr>
        <w:rPr>
          <w:b/>
          <w:spacing w:val="-2"/>
          <w:sz w:val="22"/>
          <w:szCs w:val="22"/>
        </w:rPr>
      </w:pPr>
      <w:r>
        <w:rPr>
          <w:b/>
          <w:iCs/>
          <w:sz w:val="22"/>
          <w:szCs w:val="22"/>
        </w:rPr>
        <w:t xml:space="preserve"> Langues</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rPr>
          <w:trHeight w:val="2371"/>
        </w:trP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Connaissance, maîtrise, correction de la langue</w:t>
            </w:r>
          </w:p>
          <w:p>
            <w:pPr>
              <w:rPr>
                <w:b/>
                <w:spacing w:val="-2"/>
                <w:sz w:val="22"/>
                <w:szCs w:val="22"/>
              </w:rPr>
            </w:pP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dire et demander quelle(s) langue(s) on parle, comprend, lit ou écrit et à quel niveau de compétences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si on a formulé correctement quelque chose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de préciser la prononciation d’un mot </w:t>
            </w:r>
          </w:p>
          <w:p>
            <w:pPr>
              <w:numPr>
                <w:ilvl w:val="0"/>
                <w:numId w:val="21"/>
              </w:numPr>
              <w:tabs>
                <w:tab w:val="num" w:pos="487"/>
              </w:tabs>
              <w:ind w:left="487" w:hanging="203"/>
              <w:textAlignment w:val="auto"/>
              <w:rPr>
                <w:bCs/>
                <w:sz w:val="22"/>
                <w:szCs w:val="22"/>
              </w:rPr>
            </w:pPr>
            <w:r>
              <w:rPr>
                <w:bCs/>
                <w:sz w:val="22"/>
                <w:szCs w:val="22"/>
              </w:rPr>
              <w:t>prier l’interlocuteur de corriger les fautes</w:t>
            </w:r>
          </w:p>
          <w:p>
            <w:pPr>
              <w:tabs>
                <w:tab w:val="num" w:pos="487"/>
              </w:tabs>
              <w:ind w:left="487" w:hanging="203"/>
              <w:rPr>
                <w:bCs/>
                <w:sz w:val="22"/>
                <w:szCs w:val="22"/>
              </w:rPr>
            </w:pPr>
          </w:p>
        </w:tc>
      </w:tr>
      <w:t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Comprendre et se faire comprendre</w:t>
            </w:r>
          </w:p>
          <w:p>
            <w:pPr>
              <w:rPr>
                <w:b/>
                <w:spacing w:val="-2"/>
                <w:sz w:val="22"/>
                <w:szCs w:val="22"/>
              </w:rPr>
            </w:pP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le sens d’un mot, d’une expression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comment on peut formuler une idée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demander de parler plus lentement ou plus clairement, de répéter ou de paraphraser</w:t>
            </w:r>
          </w:p>
        </w:tc>
      </w:tr>
    </w:tbl>
    <w:p>
      <w:pPr>
        <w:rPr>
          <w:spacing w:val="-2"/>
          <w:sz w:val="22"/>
          <w:szCs w:val="22"/>
        </w:rPr>
      </w:pPr>
    </w:p>
    <w:p>
      <w:pPr>
        <w:pStyle w:val="Paragraphedeliste"/>
        <w:numPr>
          <w:ilvl w:val="0"/>
          <w:numId w:val="28"/>
        </w:numPr>
        <w:rPr>
          <w:b/>
          <w:spacing w:val="-2"/>
          <w:sz w:val="22"/>
          <w:szCs w:val="22"/>
        </w:rPr>
      </w:pPr>
      <w:r>
        <w:rPr>
          <w:b/>
          <w:iCs/>
          <w:sz w:val="22"/>
          <w:szCs w:val="22"/>
        </w:rPr>
        <w:t xml:space="preserve"> Culture et société</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Relations sociales</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entrer en contact/relation en utilisant les expressions appropriées et conformes aux usages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(s’) informer à propos des règles d’usage</w:t>
            </w:r>
          </w:p>
        </w:tc>
      </w:tr>
      <w:t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Culture et société</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(s’) informer à propos des traditions, des coutumes, des modes de pensée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parler de thèmes de société, donner son opinion et s’enquérir de celle des autres</w:t>
            </w:r>
          </w:p>
        </w:tc>
      </w:tr>
    </w:tbl>
    <w:p>
      <w:pPr>
        <w:keepNext/>
        <w:widowControl w:val="0"/>
        <w:ind w:left="720"/>
        <w:rPr>
          <w:b/>
          <w:sz w:val="22"/>
        </w:rPr>
      </w:pPr>
    </w:p>
    <w:p>
      <w:pPr>
        <w:pStyle w:val="Paragraphedeliste"/>
        <w:numPr>
          <w:ilvl w:val="0"/>
          <w:numId w:val="27"/>
        </w:numPr>
        <w:rPr>
          <w:b/>
          <w:sz w:val="22"/>
        </w:rPr>
      </w:pPr>
      <w:r>
        <w:rPr>
          <w:b/>
          <w:sz w:val="22"/>
        </w:rPr>
        <w:t>Etc.</w:t>
      </w:r>
    </w:p>
    <w:p>
      <w:pPr>
        <w:rPr>
          <w:b/>
          <w:sz w:val="22"/>
          <w:highlight w:val="yellow"/>
        </w:rPr>
      </w:pPr>
    </w:p>
    <w:p>
      <w:pPr>
        <w:overflowPunct/>
        <w:autoSpaceDE/>
        <w:autoSpaceDN/>
        <w:adjustRightInd/>
        <w:textAlignment w:val="auto"/>
        <w:rPr>
          <w:b/>
          <w:sz w:val="22"/>
          <w:lang w:val="es-ES"/>
        </w:rPr>
      </w:pPr>
      <w:r>
        <w:rPr>
          <w:b/>
          <w:sz w:val="22"/>
          <w:lang w:val="es-ES"/>
        </w:rPr>
        <w:br w:type="page"/>
      </w:r>
    </w:p>
    <w:p>
      <w:pPr>
        <w:pStyle w:val="Paragraphedeliste"/>
        <w:keepNext/>
        <w:widowControl w:val="0"/>
        <w:numPr>
          <w:ilvl w:val="0"/>
          <w:numId w:val="46"/>
        </w:numPr>
        <w:rPr>
          <w:b/>
          <w:sz w:val="22"/>
        </w:rPr>
      </w:pPr>
      <w:r>
        <w:rPr>
          <w:b/>
          <w:sz w:val="22"/>
        </w:rPr>
        <w:lastRenderedPageBreak/>
        <w:t>Vie en entreprise</w:t>
      </w:r>
    </w:p>
    <w:p>
      <w:pPr>
        <w:keepNext/>
        <w:widowControl w:val="0"/>
        <w:rPr>
          <w:b/>
          <w:sz w:val="22"/>
        </w:rPr>
      </w:pPr>
    </w:p>
    <w:p>
      <w:pPr>
        <w:spacing w:before="20" w:after="20"/>
        <w:rPr>
          <w:rFonts w:ascii="Times" w:hAnsi="Times"/>
          <w:b/>
          <w:sz w:val="22"/>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395"/>
        <w:gridCol w:w="5386"/>
      </w:tblGrid>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Profession, fonction</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 profession ou quelle fonction on exerce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avantages et les inconvénients d’un métier, d’une profession, d’une fonction</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Lieu de travail</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dire et demander où et pour qui on travaille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la société pour laquelle on travaille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 lieu d’implantation, en donner les avantages et les inconvénients</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Conditions de travail</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s’informer et parler de son horaire, de sa position hiérarchique, de ses collègues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conditions de travail</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Rémunérations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s’enquérir /donner des renseignements sur les rémunérations et les avantages sociaux </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Formation professionnelle</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donner des informations et des explications à propos des formations, des perspectives d’avenir, etc.</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 xml:space="preserve"> Contacts téléphoniques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fixer, changer ou refuser un rendez-vous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prendre note d’un message téléphonique ou le transmettre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demander de répéter, de clarifier</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Courriers professionnels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rédiger ou comprendre un courrier, un courriel, un rapport, etc.</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rédiger une lettre de motivation, un C.V.</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Organisation du travail, sécurité</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discuter d’un planning de travail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transmettre ou comprendre une consigne, un ordre, un message, etc.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donner et comprendre des consignes de sécurité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lire et comprendre un mode d’emploi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consulter et commenter une réglementation, des directives</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lastRenderedPageBreak/>
              <w:t>Activités professionnelles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l’organigramme de la société</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un produit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comparer des produits, des services et argumenter à propos du choix de l’un d’entre eux</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passer une commande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formuler ou traiter une plainte et y répondre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confirmer ou demander confirmation</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faire ou accepter une offre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présenter et/ou défendre un projet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conduire un entretien, une réunion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préparer et participer à un entretien d’embauche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etc.</w:t>
            </w:r>
          </w:p>
        </w:tc>
      </w:tr>
    </w:tbl>
    <w:p>
      <w:pPr>
        <w:keepNext/>
        <w:widowControl w:val="0"/>
        <w:rPr>
          <w:b/>
          <w:sz w:val="22"/>
        </w:rPr>
      </w:pPr>
    </w:p>
    <w:p/>
    <w:p>
      <w:pPr>
        <w:keepNext/>
        <w:widowControl w:val="0"/>
        <w:numPr>
          <w:ilvl w:val="0"/>
          <w:numId w:val="46"/>
        </w:numPr>
        <w:rPr>
          <w:b/>
          <w:sz w:val="22"/>
        </w:rPr>
      </w:pPr>
      <w:r>
        <w:rPr>
          <w:b/>
          <w:sz w:val="22"/>
        </w:rPr>
        <w:t>Thèmes spécifiques</w:t>
      </w:r>
    </w:p>
    <w:p>
      <w:pPr>
        <w:keepNext/>
        <w:widowControl w:val="0"/>
        <w:rPr>
          <w:b/>
          <w:sz w:val="22"/>
        </w:rPr>
      </w:pPr>
    </w:p>
    <w:p>
      <w:pPr>
        <w:keepNext/>
        <w:widowControl w:val="0"/>
        <w:rPr>
          <w:b/>
          <w:sz w:val="22"/>
        </w:rPr>
      </w:pPr>
    </w:p>
    <w:p>
      <w:pPr>
        <w:numPr>
          <w:ilvl w:val="0"/>
          <w:numId w:val="41"/>
        </w:numPr>
        <w:textAlignment w:val="auto"/>
        <w:rPr>
          <w:rFonts w:ascii="Times" w:hAnsi="Times"/>
          <w:b/>
          <w:sz w:val="22"/>
          <w:szCs w:val="22"/>
        </w:rPr>
      </w:pPr>
      <w:r>
        <w:rPr>
          <w:rFonts w:ascii="Times" w:hAnsi="Times"/>
          <w:b/>
          <w:sz w:val="22"/>
          <w:szCs w:val="22"/>
        </w:rPr>
        <w:t xml:space="preserve">Domaine informatique </w:t>
      </w:r>
    </w:p>
    <w:p>
      <w:pPr>
        <w:rPr>
          <w:rFonts w:cs="Mangal"/>
          <w:b/>
          <w:bCs/>
          <w:sz w:val="22"/>
          <w:szCs w:val="22"/>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07"/>
        <w:gridCol w:w="5974"/>
      </w:tblGrid>
      <w:tr>
        <w:trPr>
          <w:trHeight w:val="981"/>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Ordinateurs</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décrire les différents types d’ordinateurs et présenter leurs avantages et inconvénients </w:t>
            </w:r>
          </w:p>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décrire les différentes composantes d’un PC et leur(s) fonction(s) (écran, console, clavier, périphérique, etc.)</w:t>
            </w:r>
          </w:p>
        </w:tc>
      </w:tr>
      <w:tr>
        <w:trPr>
          <w:trHeight w:val="420"/>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Logiciels </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logiciels courants</w:t>
            </w:r>
          </w:p>
        </w:tc>
      </w:tr>
      <w:tr>
        <w:trPr>
          <w:trHeight w:val="545"/>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 Réseaux</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utiliser la terminologie liée aux réseaux </w:t>
            </w:r>
          </w:p>
        </w:tc>
      </w:tr>
      <w:tr>
        <w:trPr>
          <w:trHeight w:val="145"/>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Systèmes</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comprendre et utiliser la terminologie liée aux systèmes</w:t>
            </w:r>
          </w:p>
        </w:tc>
      </w:tr>
      <w:tr>
        <w:trPr>
          <w:trHeight w:val="420"/>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Support technique</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donner des directives </w:t>
            </w:r>
          </w:p>
        </w:tc>
      </w:tr>
      <w:tr>
        <w:trPr>
          <w:trHeight w:val="403"/>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Site internet</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différents éléments constitutifs d’un site</w:t>
            </w:r>
          </w:p>
        </w:tc>
      </w:tr>
      <w:tr>
        <w:trPr>
          <w:trHeight w:val="310"/>
        </w:trPr>
        <w:tc>
          <w:tcPr>
            <w:tcW w:w="3614" w:type="dxa"/>
          </w:tcPr>
          <w:p>
            <w:pPr>
              <w:numPr>
                <w:ilvl w:val="2"/>
                <w:numId w:val="20"/>
              </w:numPr>
              <w:tabs>
                <w:tab w:val="clear" w:pos="643"/>
                <w:tab w:val="num" w:pos="487"/>
                <w:tab w:val="num" w:pos="2160"/>
              </w:tabs>
              <w:overflowPunct/>
              <w:autoSpaceDE/>
              <w:adjustRightInd/>
              <w:spacing w:before="120" w:after="120"/>
              <w:ind w:left="487" w:hanging="203"/>
              <w:textAlignment w:val="auto"/>
              <w:rPr>
                <w:rFonts w:cs="Mangal"/>
                <w:sz w:val="22"/>
                <w:szCs w:val="22"/>
              </w:rPr>
            </w:pPr>
            <w:r>
              <w:rPr>
                <w:rFonts w:cs="Mangal"/>
                <w:sz w:val="22"/>
                <w:szCs w:val="22"/>
              </w:rPr>
              <w:t>etc.</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w:t>
            </w:r>
          </w:p>
        </w:tc>
      </w:tr>
    </w:tbl>
    <w:p>
      <w:pPr>
        <w:overflowPunct/>
        <w:adjustRightInd/>
        <w:ind w:left="720"/>
        <w:textAlignment w:val="auto"/>
        <w:rPr>
          <w:rFonts w:cs="Mangal"/>
          <w:b/>
          <w:bCs/>
          <w:sz w:val="22"/>
          <w:szCs w:val="22"/>
        </w:rPr>
      </w:pPr>
    </w:p>
    <w:p>
      <w:pPr>
        <w:overflowPunct/>
        <w:autoSpaceDE/>
        <w:autoSpaceDN/>
        <w:adjustRightInd/>
        <w:textAlignment w:val="auto"/>
        <w:rPr>
          <w:rFonts w:cs="Mangal"/>
          <w:b/>
          <w:bCs/>
          <w:sz w:val="22"/>
          <w:szCs w:val="22"/>
        </w:rPr>
      </w:pPr>
      <w:r>
        <w:rPr>
          <w:rFonts w:cs="Mangal"/>
          <w:b/>
          <w:bCs/>
          <w:sz w:val="22"/>
          <w:szCs w:val="22"/>
        </w:rPr>
        <w:br w:type="page"/>
      </w:r>
    </w:p>
    <w:p>
      <w:pPr>
        <w:numPr>
          <w:ilvl w:val="0"/>
          <w:numId w:val="41"/>
        </w:numPr>
        <w:textAlignment w:val="auto"/>
        <w:rPr>
          <w:rFonts w:cs="Mangal"/>
          <w:b/>
          <w:bCs/>
          <w:sz w:val="22"/>
          <w:szCs w:val="22"/>
        </w:rPr>
      </w:pPr>
      <w:r>
        <w:rPr>
          <w:rFonts w:cs="Mangal"/>
          <w:b/>
          <w:bCs/>
          <w:sz w:val="22"/>
          <w:szCs w:val="22"/>
        </w:rPr>
        <w:lastRenderedPageBreak/>
        <w:t>Domaine économique</w:t>
      </w:r>
    </w:p>
    <w:p>
      <w:pPr>
        <w:textAlignment w:val="auto"/>
        <w:rPr>
          <w:rFonts w:cs="Mangal"/>
          <w:b/>
          <w:bCs/>
          <w:sz w:val="22"/>
          <w:szCs w:val="22"/>
        </w:rPr>
      </w:pPr>
    </w:p>
    <w:tbl>
      <w:tblPr>
        <w:tblW w:w="53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3"/>
        <w:gridCol w:w="6237"/>
      </w:tblGrid>
      <w:tr>
        <w:trPr>
          <w:trHeight w:val="5912"/>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ascii="Times" w:hAnsi="Times"/>
                <w:sz w:val="22"/>
              </w:rPr>
              <w:t>Comptabilité</w:t>
            </w:r>
          </w:p>
        </w:tc>
        <w:tc>
          <w:tcPr>
            <w:tcW w:w="3166" w:type="pct"/>
            <w:vAlign w:val="center"/>
          </w:tcPr>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documents comptables (bon de commande, note d’envoi, bon de livraison, facture, note de crédit et débit, paiement), les comptes annuels, un bilan de société</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 plan d’amortissement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les différents modes de paiement, citer les avantages et les inconvénients des cartes de crédit, des virements bancaires, des emprunts à court et à long terme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comparer les différents titres et valeurs (actions, bons d’état, sicav,…)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rubriques des différents documents fiscaux (déclaration d’impôt, déclaration TVA)</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d’impôts et de taxes</w:t>
            </w:r>
          </w:p>
          <w:p>
            <w:pPr>
              <w:numPr>
                <w:ilvl w:val="0"/>
                <w:numId w:val="42"/>
              </w:numPr>
              <w:tabs>
                <w:tab w:val="clear" w:pos="1724"/>
                <w:tab w:val="num" w:pos="346"/>
              </w:tabs>
              <w:spacing w:before="120" w:after="120"/>
              <w:ind w:left="488" w:hanging="204"/>
              <w:rPr>
                <w:rFonts w:cs="Mangal"/>
                <w:sz w:val="22"/>
                <w:szCs w:val="22"/>
              </w:rPr>
            </w:pPr>
            <w:r>
              <w:rPr>
                <w:rFonts w:cs="Mangal"/>
                <w:sz w:val="22"/>
                <w:szCs w:val="22"/>
              </w:rPr>
              <w:t>assurer l’interface entre les interlocuteurs pour élaborer les documents comptables de synthèse et les présenter</w:t>
            </w:r>
          </w:p>
          <w:p>
            <w:pPr>
              <w:numPr>
                <w:ilvl w:val="0"/>
                <w:numId w:val="42"/>
              </w:numPr>
              <w:tabs>
                <w:tab w:val="clear" w:pos="1724"/>
                <w:tab w:val="num" w:pos="346"/>
              </w:tabs>
              <w:spacing w:before="120" w:after="120"/>
              <w:ind w:left="488" w:hanging="204"/>
              <w:rPr>
                <w:rFonts w:cs="Mangal"/>
                <w:sz w:val="22"/>
                <w:szCs w:val="22"/>
              </w:rPr>
            </w:pPr>
            <w:r>
              <w:rPr>
                <w:rFonts w:cs="Mangal"/>
                <w:sz w:val="22"/>
                <w:szCs w:val="22"/>
              </w:rPr>
              <w:t>répondre aux demandes d’informations et aux réclamations des clients</w:t>
            </w:r>
          </w:p>
          <w:p>
            <w:pPr>
              <w:numPr>
                <w:ilvl w:val="0"/>
                <w:numId w:val="42"/>
              </w:numPr>
              <w:tabs>
                <w:tab w:val="clear" w:pos="1724"/>
                <w:tab w:val="num" w:pos="346"/>
              </w:tabs>
              <w:spacing w:before="120" w:after="120"/>
              <w:ind w:left="488" w:hanging="204"/>
              <w:rPr>
                <w:rFonts w:cs="Mangal"/>
                <w:sz w:val="22"/>
                <w:szCs w:val="22"/>
              </w:rPr>
            </w:pPr>
            <w:r>
              <w:rPr>
                <w:rFonts w:cs="Mangal"/>
                <w:sz w:val="22"/>
                <w:szCs w:val="22"/>
              </w:rPr>
              <w:t>décrire un inventaire</w:t>
            </w:r>
          </w:p>
          <w:p>
            <w:pPr>
              <w:numPr>
                <w:ilvl w:val="0"/>
                <w:numId w:val="42"/>
              </w:numPr>
              <w:tabs>
                <w:tab w:val="clear" w:pos="1724"/>
                <w:tab w:val="num" w:pos="346"/>
              </w:tabs>
              <w:spacing w:before="120" w:after="120"/>
              <w:ind w:left="488" w:hanging="204"/>
              <w:rPr>
                <w:rFonts w:cs="Mangal"/>
                <w:sz w:val="22"/>
                <w:szCs w:val="22"/>
              </w:rPr>
            </w:pPr>
            <w:r>
              <w:rPr>
                <w:rFonts w:cs="Mangal"/>
                <w:sz w:val="22"/>
                <w:szCs w:val="22"/>
              </w:rPr>
              <w:t>citer les différents types de fraudes fiscales</w:t>
            </w:r>
          </w:p>
        </w:tc>
      </w:tr>
      <w:tr>
        <w:trPr>
          <w:trHeight w:val="2267"/>
        </w:trPr>
        <w:tc>
          <w:tcPr>
            <w:tcW w:w="1834" w:type="pct"/>
          </w:tcPr>
          <w:p>
            <w:pPr>
              <w:numPr>
                <w:ilvl w:val="2"/>
                <w:numId w:val="20"/>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Assurances</w:t>
            </w:r>
          </w:p>
        </w:tc>
        <w:tc>
          <w:tcPr>
            <w:tcW w:w="3166" w:type="pct"/>
            <w:vAlign w:val="center"/>
          </w:tcPr>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comprendre et remplir un formulaire (un PV, un constat de sinistre,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différents types de contrats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des conditions de couverture adaptées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répondre à une lettre de réclamation adressée à la compagnie d’assurances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types de fraudes à l’assurance</w:t>
            </w:r>
          </w:p>
        </w:tc>
      </w:tr>
      <w:tr>
        <w:trPr>
          <w:trHeight w:val="274"/>
        </w:trPr>
        <w:tc>
          <w:tcPr>
            <w:tcW w:w="1834" w:type="pct"/>
          </w:tcPr>
          <w:p>
            <w:pPr>
              <w:numPr>
                <w:ilvl w:val="2"/>
                <w:numId w:val="20"/>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Marketing</w:t>
            </w:r>
          </w:p>
          <w:p>
            <w:pPr>
              <w:autoSpaceDE/>
              <w:spacing w:before="100" w:after="100" w:line="276" w:lineRule="auto"/>
              <w:ind w:left="567"/>
              <w:rPr>
                <w:rFonts w:ascii="Times" w:hAnsi="Times"/>
                <w:sz w:val="22"/>
              </w:rPr>
            </w:pPr>
          </w:p>
        </w:tc>
        <w:tc>
          <w:tcPr>
            <w:tcW w:w="3166" w:type="pct"/>
            <w:vAlign w:val="center"/>
          </w:tcPr>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Etudes de marché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l’importance des études de marché pour une entreprise</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résultats d’une étude de marché, d’une enquête, d’un sondage, de statistiques</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Produit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préciser les caractéristiques d’un bon produit</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définir et classer un produit, en décrire les différentes phases et citer ses objectifs de développement</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et expliquer le cycle de vie d’un produit</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en quoi la marque est importante sur le plan commercial comme sur le plan financier</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Prix :</w:t>
            </w:r>
          </w:p>
          <w:p>
            <w:pPr>
              <w:numPr>
                <w:ilvl w:val="0"/>
                <w:numId w:val="42"/>
              </w:numPr>
              <w:tabs>
                <w:tab w:val="clear" w:pos="1724"/>
                <w:tab w:val="num" w:pos="346"/>
              </w:tabs>
              <w:overflowPunct/>
              <w:adjustRightInd/>
              <w:ind w:left="346" w:hanging="346"/>
              <w:textAlignment w:val="auto"/>
              <w:rPr>
                <w:rFonts w:cs="Mangal"/>
                <w:sz w:val="22"/>
                <w:szCs w:val="22"/>
              </w:rPr>
            </w:pPr>
            <w:r>
              <w:rPr>
                <w:rFonts w:cs="Mangal"/>
                <w:sz w:val="22"/>
                <w:szCs w:val="22"/>
              </w:rPr>
              <w:t xml:space="preserve">expliquer l’influence du prix d’un produit sur le consommateur </w:t>
            </w:r>
            <w:r>
              <w:rPr>
                <w:rFonts w:cs="Mangal"/>
                <w:sz w:val="22"/>
                <w:szCs w:val="22"/>
              </w:rPr>
              <w:lastRenderedPageBreak/>
              <w:t xml:space="preserve">en fonction de la stratégie choisie </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Distribution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circuits et méthodes de distribution</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finalité d’une démarche de distribution dans une stratégie de marketing. Comment évaluer la qualité d’une démarche de distribution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critères de choix d’un canal de distribution</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l’impact d’internet sur les modes de distribution</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Communication-marketing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expliquer la finalité de la communication dans la stratégie de 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les principales formes de la communication</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et décrire les principales caractéristiques des différentes méthodes de communication : média, marketing direct, promotions, relations publiques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caractéristiques et les atouts des outils informatiques en communication</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les outils internet qui se substituent aux outils traditionnels</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Comportement d’achat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principales fonctions à prendre en considération dans la démarche d’achat et les illustrer par un exemple</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des types de comportements d’achat et les comparer</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Environnement 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différence entre micro- et macro-environnement et en indiquer les composantes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notions d’élasticité de la demande par rapport au prix et celle de point mort ainsi que l’importance en ce qui concerne l’approche marketing</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Stratégie 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ce qu’est le marketing stratégique et sa place par rapport au marketing opérationnel</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étapes d’une stratégie marketing</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Marketing international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manières de pénétrer un nouveau marché et les expliquer</w:t>
            </w:r>
          </w:p>
          <w:p>
            <w:pPr>
              <w:overflowPunct/>
              <w:adjustRightInd/>
              <w:textAlignment w:val="auto"/>
              <w:rPr>
                <w:rFonts w:cs="Mangal"/>
                <w:sz w:val="22"/>
                <w:szCs w:val="22"/>
              </w:rPr>
            </w:pPr>
          </w:p>
          <w:p>
            <w:pPr>
              <w:overflowPunct/>
              <w:adjustRightInd/>
              <w:textAlignment w:val="auto"/>
              <w:rPr>
                <w:rFonts w:cs="Mangal"/>
                <w:sz w:val="22"/>
                <w:szCs w:val="22"/>
              </w:rPr>
            </w:pP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sz w:val="22"/>
                <w:szCs w:val="22"/>
              </w:rPr>
            </w:pPr>
            <w:r>
              <w:rPr>
                <w:rFonts w:cs="Mangal"/>
                <w:b/>
                <w:sz w:val="22"/>
                <w:szCs w:val="22"/>
              </w:rPr>
              <w:lastRenderedPageBreak/>
              <w:t>Force de vente :</w:t>
            </w:r>
          </w:p>
          <w:p>
            <w:pPr>
              <w:numPr>
                <w:ilvl w:val="2"/>
                <w:numId w:val="20"/>
              </w:numPr>
              <w:tabs>
                <w:tab w:val="clear" w:pos="643"/>
                <w:tab w:val="num" w:pos="346"/>
                <w:tab w:val="num" w:pos="487"/>
                <w:tab w:val="num" w:pos="2444"/>
              </w:tabs>
              <w:overflowPunct/>
              <w:autoSpaceDE/>
              <w:adjustRightInd/>
              <w:spacing w:before="120" w:after="120" w:line="276" w:lineRule="auto"/>
              <w:ind w:left="487" w:hanging="203"/>
              <w:jc w:val="both"/>
              <w:textAlignment w:val="auto"/>
              <w:rPr>
                <w:rFonts w:cs="Mangal"/>
                <w:sz w:val="22"/>
                <w:szCs w:val="22"/>
              </w:rPr>
            </w:pPr>
            <w:r>
              <w:rPr>
                <w:rFonts w:cs="Mangal"/>
                <w:sz w:val="22"/>
                <w:szCs w:val="22"/>
              </w:rPr>
              <w:t xml:space="preserve">appliquer les techniques de vente </w:t>
            </w:r>
          </w:p>
          <w:p>
            <w:pPr>
              <w:rPr>
                <w:rFonts w:cs="Mangal"/>
                <w:sz w:val="22"/>
                <w:szCs w:val="22"/>
              </w:rPr>
            </w:pPr>
          </w:p>
        </w:tc>
      </w:tr>
      <w:tr>
        <w:trPr>
          <w:trHeight w:val="1406"/>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ascii="Times" w:hAnsi="Times"/>
                <w:sz w:val="22"/>
              </w:rPr>
              <w:lastRenderedPageBreak/>
              <w:t>Commerce extérieur</w:t>
            </w:r>
          </w:p>
        </w:tc>
        <w:tc>
          <w:tcPr>
            <w:tcW w:w="3166" w:type="pct"/>
            <w:tcBorders>
              <w:bottom w:val="single" w:sz="4" w:space="0" w:color="auto"/>
            </w:tcBorders>
            <w:vAlign w:val="center"/>
          </w:tcPr>
          <w:p>
            <w:pPr>
              <w:numPr>
                <w:ilvl w:val="0"/>
                <w:numId w:val="43"/>
              </w:numPr>
              <w:overflowPunct/>
              <w:adjustRightInd/>
              <w:spacing w:before="120" w:after="120" w:line="276" w:lineRule="auto"/>
              <w:ind w:left="488" w:hanging="204"/>
              <w:jc w:val="both"/>
              <w:textAlignment w:val="auto"/>
              <w:rPr>
                <w:rFonts w:cs="Mangal"/>
                <w:b/>
                <w:sz w:val="22"/>
                <w:szCs w:val="22"/>
              </w:rPr>
            </w:pPr>
            <w:r>
              <w:rPr>
                <w:rFonts w:cs="Mangal"/>
                <w:b/>
                <w:sz w:val="22"/>
                <w:szCs w:val="22"/>
              </w:rPr>
              <w:t>Fonction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définir le commerce extérieur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débouchés du métier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tâches spécifiques à la fonction</w:t>
            </w:r>
          </w:p>
          <w:p>
            <w:pPr>
              <w:overflowPunct/>
              <w:adjustRightInd/>
              <w:spacing w:before="120" w:after="120"/>
              <w:ind w:left="284"/>
              <w:textAlignment w:val="auto"/>
              <w:rPr>
                <w:rFonts w:cs="Mangal"/>
                <w:sz w:val="22"/>
                <w:szCs w:val="22"/>
              </w:rPr>
            </w:pPr>
          </w:p>
          <w:p>
            <w:pPr>
              <w:numPr>
                <w:ilvl w:val="0"/>
                <w:numId w:val="43"/>
              </w:numPr>
              <w:overflowPunct/>
              <w:adjustRightInd/>
              <w:spacing w:before="120" w:after="120" w:line="276" w:lineRule="auto"/>
              <w:ind w:left="488" w:hanging="204"/>
              <w:jc w:val="both"/>
              <w:textAlignment w:val="auto"/>
              <w:rPr>
                <w:rFonts w:cs="Mangal"/>
                <w:b/>
                <w:sz w:val="22"/>
                <w:szCs w:val="22"/>
              </w:rPr>
            </w:pPr>
            <w:r>
              <w:rPr>
                <w:rFonts w:cs="Mangal"/>
                <w:b/>
                <w:sz w:val="22"/>
                <w:szCs w:val="22"/>
              </w:rPr>
              <w:t xml:space="preserve">   Marketing :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marketing</w:t>
            </w:r>
          </w:p>
          <w:p>
            <w:pPr>
              <w:overflowPunct/>
              <w:adjustRightInd/>
              <w:spacing w:before="120" w:after="120"/>
              <w:ind w:left="284"/>
              <w:textAlignment w:val="auto"/>
              <w:rPr>
                <w:rFonts w:cs="Mangal"/>
                <w:sz w:val="22"/>
                <w:szCs w:val="22"/>
              </w:rPr>
            </w:pPr>
          </w:p>
          <w:p>
            <w:pPr>
              <w:numPr>
                <w:ilvl w:val="0"/>
                <w:numId w:val="43"/>
              </w:numPr>
              <w:overflowPunct/>
              <w:adjustRightInd/>
              <w:spacing w:before="120" w:after="120" w:line="276" w:lineRule="auto"/>
              <w:ind w:left="488" w:hanging="204"/>
              <w:jc w:val="both"/>
              <w:textAlignment w:val="auto"/>
              <w:rPr>
                <w:rFonts w:cs="Mangal"/>
                <w:b/>
                <w:sz w:val="22"/>
                <w:szCs w:val="22"/>
              </w:rPr>
            </w:pPr>
            <w:r>
              <w:rPr>
                <w:rFonts w:cs="Mangal"/>
                <w:b/>
                <w:sz w:val="22"/>
                <w:szCs w:val="22"/>
              </w:rPr>
              <w:t>Commerce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une entreprise et ses résultats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structure de l’entreprise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accords et les litiges commerciaux</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gérer une plainte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gérer et assurer le suivi d’une commande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situation géopolitique d’un pays et sa situation financière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barrières commerciales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des graphiques (indicateurs de marché, tendances économiques)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institutions européennes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documents nécessaires à l’exportation</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D.  Budget finances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la gestion d’un budget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grandes tendances financières et boursières</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E</w:t>
            </w:r>
            <w:r>
              <w:rPr>
                <w:rFonts w:cs="Mangal"/>
                <w:sz w:val="22"/>
                <w:szCs w:val="22"/>
              </w:rPr>
              <w:t xml:space="preserve">.  </w:t>
            </w:r>
            <w:r>
              <w:rPr>
                <w:rFonts w:cs="Mangal"/>
                <w:b/>
                <w:sz w:val="22"/>
                <w:szCs w:val="22"/>
              </w:rPr>
              <w:t>Logistique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logistique</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F</w:t>
            </w:r>
            <w:r>
              <w:rPr>
                <w:rFonts w:cs="Mangal"/>
                <w:sz w:val="22"/>
                <w:szCs w:val="22"/>
              </w:rPr>
              <w:t xml:space="preserve">.  </w:t>
            </w:r>
            <w:r>
              <w:rPr>
                <w:rFonts w:cs="Mangal"/>
                <w:b/>
                <w:sz w:val="22"/>
                <w:szCs w:val="22"/>
              </w:rPr>
              <w:t>Produits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description d’un produit de manière détaillée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la gestion de produits défectueux ou à risques</w:t>
            </w:r>
          </w:p>
          <w:p>
            <w:pPr>
              <w:overflowPunct/>
              <w:adjustRightInd/>
              <w:spacing w:before="120" w:after="120"/>
              <w:ind w:left="284"/>
              <w:textAlignment w:val="auto"/>
              <w:rPr>
                <w:rFonts w:cs="Mangal"/>
                <w:sz w:val="22"/>
                <w:szCs w:val="22"/>
              </w:rPr>
            </w:pPr>
          </w:p>
          <w:p>
            <w:pPr>
              <w:overflowPunct/>
              <w:adjustRightInd/>
              <w:spacing w:before="120" w:after="120"/>
              <w:ind w:left="284"/>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lastRenderedPageBreak/>
              <w:t>G. Communication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utiliser des techniques de communication et de négociation avec différents  types d’acteurs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motiver une équipe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évaluer la satisfaction des clients et les fidéliser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communiquer en tenant compte des différences culturelles et du type de culture d’entreprise</w:t>
            </w:r>
          </w:p>
        </w:tc>
      </w:tr>
      <w:tr>
        <w:trPr>
          <w:trHeight w:val="1973"/>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Relations publiques</w:t>
            </w:r>
          </w:p>
        </w:tc>
        <w:tc>
          <w:tcPr>
            <w:tcW w:w="3166" w:type="pct"/>
          </w:tcPr>
          <w:p>
            <w:pPr>
              <w:numPr>
                <w:ilvl w:val="0"/>
                <w:numId w:val="44"/>
              </w:numPr>
              <w:overflowPunct/>
              <w:adjustRightInd/>
              <w:spacing w:before="120" w:after="120" w:line="276" w:lineRule="auto"/>
              <w:ind w:left="785"/>
              <w:textAlignment w:val="auto"/>
              <w:rPr>
                <w:rFonts w:cs="Mangal"/>
                <w:b/>
                <w:sz w:val="22"/>
                <w:szCs w:val="22"/>
              </w:rPr>
            </w:pPr>
            <w:r>
              <w:rPr>
                <w:rFonts w:cs="Mangal"/>
                <w:b/>
                <w:sz w:val="22"/>
                <w:szCs w:val="22"/>
              </w:rPr>
              <w:t>Accueil et prise en charge du client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saluer, accueillir, faire patienter le client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l’avis du client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obtenir des informations/renseigner sur les prix, les modes de paiement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au client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les renseignements utiles sur l’organisation d’un séjour, d’une activité,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et des compliments</w:t>
            </w:r>
          </w:p>
          <w:p>
            <w:pPr>
              <w:overflowPunct/>
              <w:adjustRightInd/>
              <w:spacing w:line="276" w:lineRule="auto"/>
              <w:ind w:left="720"/>
              <w:textAlignment w:val="auto"/>
              <w:rPr>
                <w:rFonts w:cs="Mangal"/>
                <w:sz w:val="22"/>
                <w:szCs w:val="22"/>
              </w:rPr>
            </w:pPr>
          </w:p>
          <w:p>
            <w:pPr>
              <w:numPr>
                <w:ilvl w:val="0"/>
                <w:numId w:val="44"/>
              </w:numPr>
              <w:overflowPunct/>
              <w:adjustRightInd/>
              <w:spacing w:before="120" w:after="120" w:line="276" w:lineRule="auto"/>
              <w:ind w:left="785"/>
              <w:textAlignment w:val="auto"/>
              <w:rPr>
                <w:rFonts w:cs="Mangal"/>
                <w:sz w:val="22"/>
                <w:szCs w:val="22"/>
              </w:rPr>
            </w:pPr>
            <w:r>
              <w:rPr>
                <w:rFonts w:cs="Mangal"/>
                <w:b/>
                <w:sz w:val="22"/>
                <w:szCs w:val="22"/>
              </w:rPr>
              <w:t>Hébergement :</w:t>
            </w:r>
          </w:p>
          <w:p>
            <w:pPr>
              <w:suppressAutoHyphens/>
              <w:snapToGrid w:val="0"/>
              <w:spacing w:line="276" w:lineRule="auto"/>
              <w:rPr>
                <w:color w:val="000000"/>
                <w:sz w:val="22"/>
                <w:szCs w:val="22"/>
                <w:lang w:val="fr-BE"/>
              </w:rPr>
            </w:pPr>
            <w:r>
              <w:rPr>
                <w:color w:val="000000"/>
                <w:sz w:val="22"/>
                <w:szCs w:val="22"/>
                <w:lang w:val="fr-BE"/>
              </w:rPr>
              <w:t>Dans le cadre de l’organisation d’une réunion, d’un  colloque, d’une visite d’entreprise ou d’un voyage d’affaires :</w:t>
            </w:r>
          </w:p>
          <w:p>
            <w:pPr>
              <w:suppressAutoHyphens/>
              <w:snapToGrid w:val="0"/>
              <w:spacing w:line="276" w:lineRule="auto"/>
              <w:rPr>
                <w:color w:val="000000"/>
                <w:sz w:val="22"/>
                <w:szCs w:val="22"/>
                <w:lang w:val="fr-BE"/>
              </w:rPr>
            </w:pP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citer/décrire les différentes formules d’hébergement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et répondre aux questions sur le lieu d’hébergement, les commodités, les équipements et services proposés</w:t>
            </w:r>
          </w:p>
          <w:p>
            <w:pPr>
              <w:overflowPunct/>
              <w:adjustRightInd/>
              <w:spacing w:line="276" w:lineRule="auto"/>
              <w:ind w:left="720"/>
              <w:textAlignment w:val="auto"/>
              <w:rPr>
                <w:rFonts w:cs="Mangal"/>
                <w:sz w:val="22"/>
                <w:szCs w:val="22"/>
              </w:rPr>
            </w:pPr>
          </w:p>
          <w:p>
            <w:pPr>
              <w:numPr>
                <w:ilvl w:val="0"/>
                <w:numId w:val="44"/>
              </w:numPr>
              <w:overflowPunct/>
              <w:adjustRightInd/>
              <w:spacing w:before="120" w:after="120" w:line="276" w:lineRule="auto"/>
              <w:ind w:left="785"/>
              <w:textAlignment w:val="auto"/>
              <w:rPr>
                <w:rFonts w:cs="Mangal"/>
                <w:sz w:val="22"/>
                <w:szCs w:val="22"/>
              </w:rPr>
            </w:pPr>
            <w:r>
              <w:rPr>
                <w:rFonts w:cs="Mangal"/>
                <w:b/>
                <w:sz w:val="22"/>
                <w:szCs w:val="22"/>
              </w:rPr>
              <w:t>Voyage et circulation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des transports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 la location de moyens de transport pour une entreprise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conditions de location d’un véhicule, sur les taxis, les transports en commun et autres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 </w:t>
            </w:r>
          </w:p>
          <w:p>
            <w:pPr>
              <w:tabs>
                <w:tab w:val="left" w:pos="340"/>
              </w:tabs>
              <w:overflowPunct/>
              <w:adjustRightInd/>
              <w:spacing w:line="276" w:lineRule="auto"/>
              <w:ind w:left="720"/>
              <w:textAlignment w:val="auto"/>
              <w:rPr>
                <w:rFonts w:cs="Mangal"/>
                <w:sz w:val="22"/>
                <w:szCs w:val="22"/>
              </w:rPr>
            </w:pPr>
          </w:p>
          <w:p>
            <w:pPr>
              <w:numPr>
                <w:ilvl w:val="0"/>
                <w:numId w:val="44"/>
              </w:numPr>
              <w:overflowPunct/>
              <w:adjustRightInd/>
              <w:spacing w:before="120" w:after="120" w:line="276" w:lineRule="auto"/>
              <w:ind w:left="785"/>
              <w:textAlignment w:val="auto"/>
              <w:rPr>
                <w:rFonts w:cs="Mangal"/>
                <w:sz w:val="22"/>
                <w:szCs w:val="22"/>
              </w:rPr>
            </w:pPr>
            <w:r>
              <w:rPr>
                <w:rFonts w:cs="Mangal"/>
                <w:b/>
                <w:sz w:val="22"/>
                <w:szCs w:val="22"/>
              </w:rPr>
              <w:t>Environnement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 s’informer/informer sur : </w:t>
            </w:r>
          </w:p>
          <w:p>
            <w:pPr>
              <w:pStyle w:val="Paragraphedeliste"/>
              <w:numPr>
                <w:ilvl w:val="1"/>
                <w:numId w:val="20"/>
              </w:numPr>
              <w:overflowPunct/>
              <w:adjustRightInd/>
              <w:spacing w:before="120" w:after="120"/>
              <w:textAlignment w:val="auto"/>
              <w:rPr>
                <w:rFonts w:cs="Mangal"/>
                <w:sz w:val="22"/>
                <w:szCs w:val="22"/>
              </w:rPr>
            </w:pPr>
            <w:r>
              <w:rPr>
                <w:rFonts w:cs="Mangal"/>
                <w:sz w:val="22"/>
                <w:szCs w:val="22"/>
              </w:rPr>
              <w:t>les pays, les régions, les villes, les quartiers à visiter</w:t>
            </w:r>
          </w:p>
          <w:p>
            <w:pPr>
              <w:pStyle w:val="Paragraphedeliste"/>
              <w:numPr>
                <w:ilvl w:val="1"/>
                <w:numId w:val="20"/>
              </w:numPr>
              <w:overflowPunct/>
              <w:adjustRightInd/>
              <w:spacing w:before="120" w:after="120"/>
              <w:textAlignment w:val="auto"/>
              <w:rPr>
                <w:rFonts w:cs="Mangal"/>
                <w:sz w:val="22"/>
                <w:szCs w:val="22"/>
              </w:rPr>
            </w:pPr>
            <w:r>
              <w:rPr>
                <w:rFonts w:cs="Mangal"/>
                <w:sz w:val="22"/>
                <w:szCs w:val="22"/>
              </w:rPr>
              <w:t>les particularités géographiques et les ressources naturelles</w:t>
            </w:r>
          </w:p>
          <w:p>
            <w:pPr>
              <w:overflowPunct/>
              <w:adjustRightInd/>
              <w:spacing w:line="276" w:lineRule="auto"/>
              <w:ind w:left="720"/>
              <w:textAlignment w:val="auto"/>
              <w:rPr>
                <w:rFonts w:cs="Mangal"/>
                <w:sz w:val="22"/>
                <w:szCs w:val="22"/>
              </w:rPr>
            </w:pPr>
          </w:p>
          <w:p>
            <w:pPr>
              <w:numPr>
                <w:ilvl w:val="0"/>
                <w:numId w:val="44"/>
              </w:numPr>
              <w:overflowPunct/>
              <w:adjustRightInd/>
              <w:spacing w:before="120" w:after="120" w:line="276" w:lineRule="auto"/>
              <w:ind w:left="785"/>
              <w:textAlignment w:val="auto"/>
              <w:rPr>
                <w:b/>
                <w:sz w:val="22"/>
                <w:szCs w:val="22"/>
              </w:rPr>
            </w:pPr>
            <w:r>
              <w:rPr>
                <w:b/>
                <w:color w:val="000000"/>
                <w:sz w:val="22"/>
                <w:szCs w:val="22"/>
              </w:rPr>
              <w:t xml:space="preserve">Sport </w:t>
            </w:r>
            <w:r>
              <w:rPr>
                <w:rFonts w:cs="Mangal"/>
                <w:b/>
                <w:sz w:val="22"/>
                <w:szCs w:val="22"/>
              </w:rPr>
              <w:t>et</w:t>
            </w:r>
            <w:r>
              <w:rPr>
                <w:b/>
                <w:color w:val="000000"/>
                <w:sz w:val="22"/>
                <w:szCs w:val="22"/>
              </w:rPr>
              <w:t xml:space="preserve"> loisirs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principales activités sportives et récréatives dans le cadre de l’organisation d’une réunion, d’un colloque, d’une visite d’entreprise ou d’un voyage d’affaires</w:t>
            </w:r>
          </w:p>
          <w:p>
            <w:pPr>
              <w:overflowPunct/>
              <w:adjustRightInd/>
              <w:spacing w:line="276" w:lineRule="auto"/>
              <w:ind w:left="720"/>
              <w:textAlignment w:val="auto"/>
              <w:rPr>
                <w:b/>
                <w:sz w:val="22"/>
                <w:szCs w:val="22"/>
              </w:rPr>
            </w:pPr>
          </w:p>
          <w:p>
            <w:pPr>
              <w:numPr>
                <w:ilvl w:val="0"/>
                <w:numId w:val="44"/>
              </w:numPr>
              <w:overflowPunct/>
              <w:adjustRightInd/>
              <w:spacing w:before="120" w:after="120" w:line="276" w:lineRule="auto"/>
              <w:ind w:left="785"/>
              <w:textAlignment w:val="auto"/>
              <w:rPr>
                <w:b/>
                <w:sz w:val="22"/>
                <w:szCs w:val="22"/>
              </w:rPr>
            </w:pPr>
            <w:r>
              <w:rPr>
                <w:b/>
                <w:color w:val="000000"/>
                <w:sz w:val="22"/>
                <w:szCs w:val="22"/>
              </w:rPr>
              <w:t>Culture et civilisation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s’informer/informer sur le patrimoine culturel d’un pays, d’une région, d’une ville ou d’un lieu à visiter (architecture, musées, sites classés, …) dans le cadre de l’organisation d’un voyage d’affaires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des visites par téléphone ou par écrit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identifier les partenaires économiques d’une région et les décrire</w:t>
            </w:r>
          </w:p>
          <w:p>
            <w:pPr>
              <w:tabs>
                <w:tab w:val="left" w:pos="340"/>
              </w:tabs>
              <w:overflowPunct/>
              <w:adjustRightInd/>
              <w:spacing w:line="276" w:lineRule="auto"/>
              <w:ind w:left="720"/>
              <w:textAlignment w:val="auto"/>
              <w:rPr>
                <w:rFonts w:cs="Mangal"/>
                <w:sz w:val="22"/>
                <w:szCs w:val="22"/>
              </w:rPr>
            </w:pPr>
          </w:p>
          <w:p>
            <w:pPr>
              <w:numPr>
                <w:ilvl w:val="0"/>
                <w:numId w:val="44"/>
              </w:numPr>
              <w:overflowPunct/>
              <w:adjustRightInd/>
              <w:spacing w:before="120" w:after="120" w:line="276" w:lineRule="auto"/>
              <w:ind w:left="785"/>
              <w:textAlignment w:val="auto"/>
              <w:rPr>
                <w:b/>
                <w:sz w:val="22"/>
                <w:szCs w:val="22"/>
              </w:rPr>
            </w:pPr>
            <w:r>
              <w:rPr>
                <w:b/>
                <w:color w:val="000000"/>
                <w:sz w:val="22"/>
                <w:szCs w:val="22"/>
              </w:rPr>
              <w:t>Organisation</w:t>
            </w:r>
            <w:r>
              <w:rPr>
                <w:b/>
                <w:sz w:val="22"/>
                <w:szCs w:val="22"/>
              </w:rPr>
              <w:t xml:space="preserve"> de séminaires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 matériel à disposition : salle, catering,  location de matériel, etc.</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 programme d’activités ainsi que l’organisation de la journée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éventuelle aux participants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 et les remercier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différentes offres</w:t>
            </w:r>
          </w:p>
          <w:p>
            <w:pPr>
              <w:overflowPunct/>
              <w:adjustRightInd/>
              <w:spacing w:line="276" w:lineRule="auto"/>
              <w:ind w:left="720"/>
              <w:textAlignment w:val="auto"/>
              <w:rPr>
                <w:rFonts w:cs="Mangal"/>
                <w:sz w:val="22"/>
                <w:szCs w:val="22"/>
              </w:rPr>
            </w:pPr>
          </w:p>
          <w:p>
            <w:pPr>
              <w:numPr>
                <w:ilvl w:val="0"/>
                <w:numId w:val="44"/>
              </w:numPr>
              <w:overflowPunct/>
              <w:adjustRightInd/>
              <w:spacing w:before="120" w:after="120" w:line="276" w:lineRule="auto"/>
              <w:ind w:left="785"/>
              <w:textAlignment w:val="auto"/>
              <w:rPr>
                <w:b/>
                <w:sz w:val="22"/>
                <w:szCs w:val="22"/>
              </w:rPr>
            </w:pPr>
            <w:r>
              <w:rPr>
                <w:b/>
                <w:sz w:val="22"/>
                <w:szCs w:val="22"/>
                <w:lang w:val="fr-BE"/>
              </w:rPr>
              <w:t xml:space="preserve">Contacts </w:t>
            </w:r>
            <w:r>
              <w:rPr>
                <w:b/>
                <w:color w:val="000000"/>
                <w:sz w:val="22"/>
                <w:szCs w:val="22"/>
              </w:rPr>
              <w:t>professionnels</w:t>
            </w:r>
            <w:r>
              <w:rPr>
                <w:b/>
                <w:sz w:val="22"/>
                <w:szCs w:val="22"/>
                <w:lang w:val="fr-BE"/>
              </w:rPr>
              <w: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partenaires potentiels d’organisation d’événement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d’éventuels sponsors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les officiels </w:t>
            </w:r>
          </w:p>
          <w:p>
            <w:pPr>
              <w:overflowPunct/>
              <w:adjustRightInd/>
              <w:spacing w:before="120" w:after="120"/>
              <w:ind w:left="488"/>
              <w:textAlignment w:val="auto"/>
              <w:rPr>
                <w:rFonts w:cs="Mangal"/>
                <w:sz w:val="22"/>
                <w:szCs w:val="22"/>
              </w:rPr>
            </w:pPr>
          </w:p>
          <w:p>
            <w:pPr>
              <w:numPr>
                <w:ilvl w:val="0"/>
                <w:numId w:val="44"/>
              </w:numPr>
              <w:overflowPunct/>
              <w:adjustRightInd/>
              <w:spacing w:before="120" w:after="120" w:line="276" w:lineRule="auto"/>
              <w:ind w:left="785"/>
              <w:textAlignment w:val="auto"/>
              <w:rPr>
                <w:b/>
                <w:sz w:val="22"/>
                <w:szCs w:val="22"/>
              </w:rPr>
            </w:pPr>
            <w:r>
              <w:rPr>
                <w:b/>
                <w:color w:val="000000"/>
                <w:sz w:val="22"/>
                <w:szCs w:val="22"/>
              </w:rPr>
              <w:lastRenderedPageBreak/>
              <w:t>Création</w:t>
            </w:r>
            <w:r>
              <w:rPr>
                <w:b/>
                <w:sz w:val="22"/>
                <w:szCs w:val="22"/>
                <w:lang w:val="fr-BE"/>
              </w:rPr>
              <w:t xml:space="preserve"> rédactionnelle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réaliser le folder d’un programme d’événement, d’une plaquette d’entreprise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des textes pour l’intranet d’une entreprise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alimenter et/ou gérer des sites web et des réseaux sociaux (community management)</w:t>
            </w:r>
          </w:p>
          <w:p>
            <w:pPr>
              <w:overflowPunct/>
              <w:adjustRightInd/>
              <w:textAlignment w:val="auto"/>
              <w:rPr>
                <w:rFonts w:cs="Mangal"/>
                <w:sz w:val="16"/>
                <w:szCs w:val="16"/>
              </w:rPr>
            </w:pPr>
          </w:p>
        </w:tc>
      </w:tr>
      <w:tr>
        <w:trPr>
          <w:trHeight w:val="130"/>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Tourisme</w:t>
            </w:r>
          </w:p>
        </w:tc>
        <w:tc>
          <w:tcPr>
            <w:tcW w:w="3166" w:type="pct"/>
          </w:tcPr>
          <w:p>
            <w:pPr>
              <w:numPr>
                <w:ilvl w:val="0"/>
                <w:numId w:val="45"/>
              </w:numPr>
              <w:overflowPunct/>
              <w:adjustRightInd/>
              <w:spacing w:before="120" w:after="120" w:line="276" w:lineRule="auto"/>
              <w:textAlignment w:val="auto"/>
              <w:rPr>
                <w:rFonts w:cs="Mangal"/>
                <w:b/>
                <w:sz w:val="22"/>
                <w:szCs w:val="22"/>
              </w:rPr>
            </w:pPr>
            <w:r>
              <w:rPr>
                <w:b/>
                <w:color w:val="000000"/>
                <w:sz w:val="22"/>
                <w:szCs w:val="22"/>
              </w:rPr>
              <w:t>Accueil</w:t>
            </w:r>
            <w:r>
              <w:rPr>
                <w:rFonts w:cs="Mangal"/>
                <w:b/>
                <w:sz w:val="22"/>
                <w:szCs w:val="22"/>
              </w:rPr>
              <w:t xml:space="preserve"> et </w:t>
            </w:r>
            <w:r>
              <w:rPr>
                <w:b/>
                <w:color w:val="000000"/>
                <w:sz w:val="22"/>
                <w:szCs w:val="22"/>
              </w:rPr>
              <w:t>prise</w:t>
            </w:r>
            <w:r>
              <w:rPr>
                <w:rFonts w:cs="Mangal"/>
                <w:b/>
                <w:sz w:val="22"/>
                <w:szCs w:val="22"/>
              </w:rPr>
              <w:t xml:space="preserve"> en charge du client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saluer, accueillir, faire patienter le client, lui proposer son aide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renseignements utiles sur l’organisation d’un séjour, d’une activité,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renseigner sur les modes de paiement, les prix</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ou des compliments</w:t>
            </w:r>
          </w:p>
          <w:p>
            <w:pPr>
              <w:tabs>
                <w:tab w:val="left" w:pos="340"/>
              </w:tabs>
              <w:overflowPunct/>
              <w:adjustRightInd/>
              <w:spacing w:line="276" w:lineRule="auto"/>
              <w:textAlignment w:val="auto"/>
              <w:rPr>
                <w:rFonts w:cs="Mangal"/>
                <w:sz w:val="22"/>
                <w:szCs w:val="22"/>
              </w:rPr>
            </w:pPr>
          </w:p>
          <w:p>
            <w:pPr>
              <w:numPr>
                <w:ilvl w:val="0"/>
                <w:numId w:val="45"/>
              </w:numPr>
              <w:overflowPunct/>
              <w:adjustRightInd/>
              <w:spacing w:line="276" w:lineRule="auto"/>
              <w:ind w:left="782" w:hanging="357"/>
              <w:textAlignment w:val="auto"/>
              <w:rPr>
                <w:rFonts w:cs="Mangal"/>
                <w:sz w:val="22"/>
                <w:szCs w:val="22"/>
              </w:rPr>
            </w:pPr>
            <w:r>
              <w:rPr>
                <w:b/>
                <w:color w:val="000000"/>
                <w:sz w:val="22"/>
                <w:szCs w:val="22"/>
              </w:rPr>
              <w:t>Hébergement</w:t>
            </w:r>
            <w:r>
              <w:rPr>
                <w:rFonts w:cs="Mangal"/>
                <w:sz w:val="22"/>
                <w:szCs w:val="22"/>
              </w:rPr>
              <w: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décrire les différentes formules d’hébergement et citer leurs avantages et leurs inconvénients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les commodités, les équipements et services proposés</w:t>
            </w:r>
          </w:p>
          <w:p>
            <w:pPr>
              <w:overflowPunct/>
              <w:adjustRightInd/>
              <w:spacing w:line="276" w:lineRule="auto"/>
              <w:ind w:left="782"/>
              <w:textAlignment w:val="auto"/>
              <w:rPr>
                <w:b/>
                <w:color w:val="000000"/>
                <w:sz w:val="18"/>
                <w:szCs w:val="18"/>
              </w:rPr>
            </w:pPr>
          </w:p>
          <w:p>
            <w:pPr>
              <w:numPr>
                <w:ilvl w:val="0"/>
                <w:numId w:val="45"/>
              </w:numPr>
              <w:overflowPunct/>
              <w:adjustRightInd/>
              <w:spacing w:line="276" w:lineRule="auto"/>
              <w:ind w:left="782" w:hanging="357"/>
              <w:textAlignment w:val="auto"/>
              <w:rPr>
                <w:b/>
                <w:color w:val="000000"/>
                <w:sz w:val="22"/>
                <w:szCs w:val="22"/>
              </w:rPr>
            </w:pPr>
            <w:r>
              <w:rPr>
                <w:b/>
                <w:color w:val="000000"/>
                <w:sz w:val="22"/>
                <w:szCs w:val="22"/>
              </w:rPr>
              <w:t>Voyage et circulation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demander et fournir des informations au sujet des moyens de transport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les conditions de location d’un véhicule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et fournir des informations sur les documents et les formalités nécessaires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les informations sur l’enregistrement et la reprise des bagages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avantages et les inconvénients d’un moyen de transport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argumenter le choix d’une route à suivre en fonction de critères culturels, historiques, de sécurité, de rapidité, …</w:t>
            </w:r>
          </w:p>
          <w:p>
            <w:pPr>
              <w:tabs>
                <w:tab w:val="left" w:pos="340"/>
              </w:tabs>
              <w:overflowPunct/>
              <w:adjustRightInd/>
              <w:spacing w:before="120" w:after="120"/>
              <w:ind w:left="284"/>
              <w:textAlignment w:val="auto"/>
              <w:rPr>
                <w:rFonts w:cs="Mangal"/>
                <w:sz w:val="22"/>
                <w:szCs w:val="22"/>
              </w:rPr>
            </w:pPr>
          </w:p>
          <w:p>
            <w:pPr>
              <w:overflowPunct/>
              <w:adjustRightInd/>
              <w:spacing w:before="120" w:after="120" w:line="276" w:lineRule="auto"/>
              <w:ind w:left="785" w:hanging="288"/>
              <w:textAlignment w:val="auto"/>
              <w:rPr>
                <w:rFonts w:cs="Mangal"/>
                <w:sz w:val="22"/>
                <w:szCs w:val="22"/>
              </w:rPr>
            </w:pPr>
            <w:r>
              <w:rPr>
                <w:rFonts w:cs="Mangal"/>
                <w:b/>
                <w:sz w:val="22"/>
                <w:szCs w:val="22"/>
              </w:rPr>
              <w:t xml:space="preserve">D. </w:t>
            </w:r>
            <w:r>
              <w:rPr>
                <w:b/>
                <w:color w:val="000000"/>
                <w:sz w:val="22"/>
                <w:szCs w:val="22"/>
              </w:rPr>
              <w:t>Envir</w:t>
            </w:r>
            <w:r>
              <w:rPr>
                <w:b/>
                <w:sz w:val="22"/>
                <w:szCs w:val="22"/>
                <w:lang w:val="fr-BE"/>
              </w:rPr>
              <w:t>o</w:t>
            </w:r>
            <w:r>
              <w:rPr>
                <w:b/>
                <w:color w:val="000000"/>
                <w:sz w:val="22"/>
                <w:szCs w:val="22"/>
              </w:rPr>
              <w:t>nnement</w:t>
            </w:r>
            <w:r>
              <w:rPr>
                <w:rFonts w:cs="Mangal"/>
                <w:sz w:val="22"/>
                <w:szCs w:val="22"/>
              </w:rPr>
              <w: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à propos des pays, des régions, des villes, des quartiers à visiter, des particularités géographiques et des ressources naturelles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informations relatives à la météo</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caractériser le climat d’une région déterminée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argumenter le choix d’une destination</w:t>
            </w:r>
          </w:p>
          <w:p>
            <w:pPr>
              <w:tabs>
                <w:tab w:val="left" w:pos="340"/>
              </w:tabs>
              <w:overflowPunct/>
              <w:adjustRightInd/>
              <w:spacing w:line="276" w:lineRule="auto"/>
              <w:textAlignment w:val="auto"/>
              <w:rPr>
                <w:rFonts w:cs="Mangal"/>
                <w:sz w:val="22"/>
                <w:szCs w:val="22"/>
              </w:rPr>
            </w:pPr>
          </w:p>
          <w:p>
            <w:pPr>
              <w:overflowPunct/>
              <w:adjustRightInd/>
              <w:spacing w:before="120" w:after="120" w:line="276" w:lineRule="auto"/>
              <w:ind w:left="785" w:hanging="288"/>
              <w:textAlignment w:val="auto"/>
              <w:rPr>
                <w:b/>
                <w:color w:val="000000"/>
                <w:sz w:val="22"/>
                <w:szCs w:val="22"/>
              </w:rPr>
            </w:pPr>
            <w:r>
              <w:rPr>
                <w:b/>
                <w:color w:val="000000"/>
                <w:sz w:val="22"/>
                <w:szCs w:val="22"/>
              </w:rPr>
              <w:t xml:space="preserve">E. </w:t>
            </w:r>
            <w:r>
              <w:rPr>
                <w:rFonts w:cs="Mangal"/>
                <w:b/>
                <w:sz w:val="22"/>
                <w:szCs w:val="22"/>
              </w:rPr>
              <w:t>Sport</w:t>
            </w:r>
            <w:r>
              <w:rPr>
                <w:b/>
                <w:color w:val="000000"/>
                <w:sz w:val="22"/>
                <w:szCs w:val="22"/>
              </w:rPr>
              <w:t xml:space="preserve"> et loisirs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les principales activités sportives et récréatives, en expliquer les différentes modalités et conditions d’accès</w:t>
            </w:r>
          </w:p>
          <w:p>
            <w:pPr>
              <w:overflowPunct/>
              <w:adjustRightInd/>
              <w:spacing w:before="120" w:after="120"/>
              <w:ind w:left="284"/>
              <w:textAlignment w:val="auto"/>
              <w:rPr>
                <w:rFonts w:cs="Mangal"/>
                <w:sz w:val="22"/>
                <w:szCs w:val="22"/>
              </w:rPr>
            </w:pPr>
          </w:p>
          <w:p>
            <w:pPr>
              <w:overflowPunct/>
              <w:adjustRightInd/>
              <w:spacing w:line="276" w:lineRule="auto"/>
              <w:ind w:left="788" w:hanging="289"/>
              <w:textAlignment w:val="auto"/>
              <w:rPr>
                <w:rFonts w:cs="Mangal"/>
                <w:b/>
                <w:sz w:val="22"/>
                <w:szCs w:val="22"/>
              </w:rPr>
            </w:pPr>
            <w:r>
              <w:rPr>
                <w:rFonts w:cs="Mangal"/>
                <w:b/>
                <w:sz w:val="22"/>
                <w:szCs w:val="22"/>
              </w:rPr>
              <w:t>F. Culture et civilisation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 patrimoine culturel, le mode de vie, les traditions, les us et coutumes d’un pays, d’une région, d’une ville ou d’un lieu à visiter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guider ou faire un commentaire guidé utilisant les nouveaux médias</w:t>
            </w:r>
          </w:p>
          <w:p>
            <w:pPr>
              <w:tabs>
                <w:tab w:val="left" w:pos="340"/>
              </w:tabs>
              <w:overflowPunct/>
              <w:adjustRightInd/>
              <w:spacing w:before="120" w:after="120"/>
              <w:ind w:left="488"/>
              <w:textAlignment w:val="auto"/>
              <w:rPr>
                <w:rFonts w:cs="Mangal"/>
                <w:sz w:val="22"/>
                <w:szCs w:val="22"/>
              </w:rPr>
            </w:pPr>
          </w:p>
          <w:p>
            <w:pPr>
              <w:overflowPunct/>
              <w:adjustRightInd/>
              <w:spacing w:before="120" w:after="120" w:line="276" w:lineRule="auto"/>
              <w:ind w:left="785" w:hanging="288"/>
              <w:textAlignment w:val="auto"/>
              <w:rPr>
                <w:rFonts w:cs="Mangal"/>
                <w:b/>
                <w:sz w:val="22"/>
                <w:szCs w:val="22"/>
              </w:rPr>
            </w:pPr>
            <w:r>
              <w:rPr>
                <w:rFonts w:cs="Mangal"/>
                <w:b/>
                <w:sz w:val="22"/>
                <w:szCs w:val="22"/>
              </w:rPr>
              <w:t xml:space="preserve">G. </w:t>
            </w:r>
            <w:r>
              <w:rPr>
                <w:b/>
                <w:color w:val="000000"/>
                <w:sz w:val="22"/>
                <w:szCs w:val="22"/>
              </w:rPr>
              <w:t>Organisation</w:t>
            </w:r>
            <w:r>
              <w:rPr>
                <w:rFonts w:cs="Mangal"/>
                <w:b/>
                <w:sz w:val="22"/>
                <w:szCs w:val="22"/>
              </w:rPr>
              <w:t xml:space="preserve"> de </w:t>
            </w:r>
            <w:r>
              <w:rPr>
                <w:b/>
                <w:color w:val="000000"/>
                <w:sz w:val="22"/>
                <w:szCs w:val="22"/>
              </w:rPr>
              <w:t>séminaires</w:t>
            </w:r>
            <w:r>
              <w:rPr>
                <w:rFonts w:cs="Mangal"/>
                <w:b/>
                <w:sz w:val="22"/>
                <w:szCs w:val="22"/>
              </w:rPr>
              <w: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des infrastructures pour la réservation et l’organisation d’un séminaire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 matériel à disposition</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un programme d’activités, planifier  l’organisation de la journée et les présenter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différentes offres</w:t>
            </w:r>
          </w:p>
          <w:p>
            <w:pPr>
              <w:overflowPunct/>
              <w:adjustRightInd/>
              <w:spacing w:before="120" w:after="120"/>
              <w:ind w:left="488"/>
              <w:textAlignment w:val="auto"/>
              <w:rPr>
                <w:rFonts w:cs="Mangal"/>
                <w:sz w:val="22"/>
                <w:szCs w:val="22"/>
              </w:rPr>
            </w:pPr>
          </w:p>
          <w:p>
            <w:pPr>
              <w:overflowPunct/>
              <w:adjustRightInd/>
              <w:spacing w:before="120" w:after="120" w:line="276" w:lineRule="auto"/>
              <w:ind w:left="785" w:hanging="288"/>
              <w:textAlignment w:val="auto"/>
              <w:rPr>
                <w:rFonts w:cs="Mangal"/>
                <w:b/>
                <w:sz w:val="22"/>
                <w:szCs w:val="22"/>
              </w:rPr>
            </w:pPr>
            <w:r>
              <w:rPr>
                <w:rFonts w:cs="Mangal"/>
                <w:b/>
                <w:sz w:val="22"/>
                <w:szCs w:val="22"/>
              </w:rPr>
              <w:t>H. Promotion / distribution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présenter/expliquer un produit oralement et par écrit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promouvoir une visite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vanter les attraits d’un site, d’une région</w:t>
            </w: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Gestion Ressources Humaines</w:t>
            </w:r>
          </w:p>
        </w:tc>
        <w:tc>
          <w:tcPr>
            <w:tcW w:w="3166" w:type="pct"/>
            <w:vAlign w:val="center"/>
          </w:tcPr>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comprendre et rédiger un curriculum vitae, une lettre de motivation, un profil de fonction, etc.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mener un entretien d’embauche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l’organigramme de l’entreprise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échanger au sujet de l’environnement de travail, des locaux et du matériel</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types de contrats de travail</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les éléments d’une fiche de paie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annoncer / encadrer les départs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traiter les plaintes relatives à l’environnement, aux horaires, aux mésententes, etc.</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congés possibles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négocier les congés, les vacances et les horaires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s’exprimer au sujet de la problématique des absences</w:t>
            </w: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Droit</w:t>
            </w:r>
          </w:p>
        </w:tc>
        <w:tc>
          <w:tcPr>
            <w:tcW w:w="3166" w:type="pct"/>
            <w:vAlign w:val="center"/>
          </w:tcPr>
          <w:p>
            <w:pPr>
              <w:overflowPunct/>
              <w:adjustRightInd/>
              <w:spacing w:line="276" w:lineRule="auto"/>
              <w:ind w:left="360"/>
              <w:jc w:val="both"/>
              <w:textAlignment w:val="auto"/>
              <w:rPr>
                <w:rFonts w:cs="Mangal"/>
                <w:b/>
                <w:sz w:val="22"/>
                <w:szCs w:val="22"/>
              </w:rPr>
            </w:pPr>
            <w:r>
              <w:rPr>
                <w:rFonts w:cs="Mangal"/>
                <w:b/>
                <w:sz w:val="22"/>
                <w:szCs w:val="22"/>
              </w:rPr>
              <w:t>A. Contrats et actes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contrats et actes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droits et obligations des contractants</w:t>
            </w:r>
          </w:p>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Institutions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institutions</w:t>
            </w:r>
          </w:p>
          <w:p>
            <w:pPr>
              <w:overflowPunct/>
              <w:adjustRightInd/>
              <w:spacing w:line="276" w:lineRule="auto"/>
              <w:ind w:left="720"/>
              <w:jc w:val="both"/>
              <w:textAlignment w:val="auto"/>
              <w:rPr>
                <w:rFonts w:cs="Mangal"/>
                <w:b/>
                <w:sz w:val="22"/>
                <w:szCs w:val="22"/>
              </w:rPr>
            </w:pPr>
          </w:p>
          <w:p>
            <w:pPr>
              <w:numPr>
                <w:ilvl w:val="0"/>
                <w:numId w:val="34"/>
              </w:numPr>
              <w:overflowPunct/>
              <w:adjustRightInd/>
              <w:spacing w:line="276" w:lineRule="auto"/>
              <w:jc w:val="both"/>
              <w:textAlignment w:val="auto"/>
              <w:rPr>
                <w:rFonts w:cs="Mangal"/>
                <w:b/>
                <w:sz w:val="22"/>
                <w:szCs w:val="22"/>
              </w:rPr>
            </w:pPr>
            <w:r>
              <w:rPr>
                <w:rFonts w:cs="Mangal"/>
                <w:b/>
                <w:sz w:val="22"/>
                <w:szCs w:val="22"/>
              </w:rPr>
              <w:t>Juridictions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différentes juridictions</w:t>
            </w:r>
          </w:p>
          <w:p>
            <w:pPr>
              <w:overflowPunct/>
              <w:adjustRightInd/>
              <w:spacing w:line="276" w:lineRule="auto"/>
              <w:ind w:left="720"/>
              <w:jc w:val="both"/>
              <w:textAlignment w:val="auto"/>
              <w:rPr>
                <w:rFonts w:cs="Mangal"/>
                <w:b/>
                <w:sz w:val="22"/>
                <w:szCs w:val="22"/>
              </w:rPr>
            </w:pPr>
          </w:p>
          <w:p>
            <w:pPr>
              <w:numPr>
                <w:ilvl w:val="0"/>
                <w:numId w:val="34"/>
              </w:numPr>
              <w:overflowPunct/>
              <w:adjustRightInd/>
              <w:spacing w:line="276" w:lineRule="auto"/>
              <w:jc w:val="both"/>
              <w:textAlignment w:val="auto"/>
              <w:rPr>
                <w:rFonts w:cs="Mangal"/>
                <w:b/>
                <w:sz w:val="22"/>
                <w:szCs w:val="22"/>
              </w:rPr>
            </w:pPr>
            <w:r>
              <w:rPr>
                <w:rFonts w:cs="Mangal"/>
                <w:b/>
                <w:sz w:val="22"/>
                <w:szCs w:val="22"/>
              </w:rPr>
              <w:t>Aide juridique et assistance judiciaire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brièvement l’aide juridique et l’assistance judiciaire pour pouvoir orienter le demandeur </w:t>
            </w:r>
          </w:p>
          <w:p>
            <w:pPr>
              <w:overflowPunct/>
              <w:adjustRightInd/>
              <w:spacing w:before="120" w:after="120"/>
              <w:ind w:left="488"/>
              <w:textAlignment w:val="auto"/>
              <w:rPr>
                <w:rFonts w:cs="Mangal"/>
                <w:sz w:val="22"/>
                <w:szCs w:val="22"/>
              </w:rPr>
            </w:pPr>
          </w:p>
          <w:p>
            <w:pPr>
              <w:numPr>
                <w:ilvl w:val="0"/>
                <w:numId w:val="34"/>
              </w:numPr>
              <w:overflowPunct/>
              <w:adjustRightInd/>
              <w:spacing w:line="276" w:lineRule="auto"/>
              <w:jc w:val="both"/>
              <w:textAlignment w:val="auto"/>
              <w:rPr>
                <w:rFonts w:cs="Mangal"/>
                <w:b/>
                <w:sz w:val="22"/>
                <w:szCs w:val="22"/>
              </w:rPr>
            </w:pPr>
            <w:r>
              <w:rPr>
                <w:rFonts w:cs="Mangal"/>
                <w:b/>
                <w:sz w:val="22"/>
                <w:szCs w:val="22"/>
              </w:rPr>
              <w:t>Législations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législation</w:t>
            </w:r>
          </w:p>
          <w:p>
            <w:pPr>
              <w:overflowPunct/>
              <w:adjustRightInd/>
              <w:spacing w:before="120" w:after="120"/>
              <w:ind w:left="488"/>
              <w:textAlignment w:val="auto"/>
              <w:rPr>
                <w:rFonts w:cs="Mangal"/>
                <w:sz w:val="22"/>
                <w:szCs w:val="22"/>
              </w:rPr>
            </w:pPr>
          </w:p>
          <w:p>
            <w:pPr>
              <w:numPr>
                <w:ilvl w:val="0"/>
                <w:numId w:val="34"/>
              </w:numPr>
              <w:overflowPunct/>
              <w:adjustRightInd/>
              <w:spacing w:line="276" w:lineRule="auto"/>
              <w:jc w:val="both"/>
              <w:textAlignment w:val="auto"/>
              <w:rPr>
                <w:rFonts w:cs="Mangal"/>
                <w:sz w:val="22"/>
                <w:szCs w:val="22"/>
              </w:rPr>
            </w:pPr>
            <w:r>
              <w:rPr>
                <w:rFonts w:cs="Mangal"/>
                <w:b/>
                <w:sz w:val="22"/>
                <w:szCs w:val="22"/>
              </w:rPr>
              <w:t>Recours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voies de recours</w:t>
            </w:r>
          </w:p>
          <w:p>
            <w:pPr>
              <w:overflowPunct/>
              <w:adjustRightInd/>
              <w:spacing w:line="276" w:lineRule="auto"/>
              <w:ind w:left="360"/>
              <w:jc w:val="both"/>
              <w:textAlignment w:val="auto"/>
              <w:rPr>
                <w:rFonts w:cs="Mangal"/>
                <w:sz w:val="16"/>
                <w:szCs w:val="16"/>
              </w:rPr>
            </w:pP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t>Coopération internationale</w:t>
            </w:r>
          </w:p>
        </w:tc>
        <w:tc>
          <w:tcPr>
            <w:tcW w:w="3166" w:type="pct"/>
            <w:vAlign w:val="center"/>
          </w:tcPr>
          <w:p>
            <w:pPr>
              <w:overflowPunct/>
              <w:adjustRightInd/>
              <w:spacing w:line="276" w:lineRule="auto"/>
              <w:ind w:left="360"/>
              <w:jc w:val="both"/>
              <w:textAlignment w:val="auto"/>
              <w:rPr>
                <w:rFonts w:cs="Mangal"/>
                <w:sz w:val="22"/>
                <w:szCs w:val="22"/>
              </w:rPr>
            </w:pPr>
            <w:r>
              <w:rPr>
                <w:rFonts w:cs="Mangal"/>
                <w:b/>
                <w:sz w:val="22"/>
                <w:szCs w:val="22"/>
              </w:rPr>
              <w:t>A. Coopération au développement :</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décrire en quoi consiste la coopération au développement et les différents partenaires</w:t>
            </w:r>
          </w:p>
          <w:p>
            <w:pPr>
              <w:overflowPunct/>
              <w:adjustRightInd/>
              <w:spacing w:line="276" w:lineRule="auto"/>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Objectifs de la coopération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développement durable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l’éradication de la pauvreté</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la croissance inclusive et durable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respect des droits de l’homme, de la démocratie, de l’état de droit, de la bonne gouvernance,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C. Enjeux mondiaux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enjeux mondiaux et en parler : changement climatique, ressources naturelles, nouvelles menaces contre la sécurité (épidémies, groupes armés non étatiques, ...),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D. Relations entre les pays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relations entre les pays nord - sud (accords, échanges commerciaux,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migrations humaines</w:t>
            </w:r>
          </w:p>
          <w:p>
            <w:pPr>
              <w:overflowPunct/>
              <w:adjustRightInd/>
              <w:spacing w:line="276" w:lineRule="auto"/>
              <w:ind w:left="360"/>
              <w:jc w:val="both"/>
              <w:textAlignment w:val="auto"/>
              <w:rPr>
                <w:rFonts w:cs="Mangal"/>
                <w:sz w:val="22"/>
                <w:szCs w:val="22"/>
              </w:rPr>
            </w:pPr>
          </w:p>
        </w:tc>
      </w:tr>
      <w:tr>
        <w:trPr>
          <w:trHeight w:val="96"/>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Transports et logistiques</w:t>
            </w:r>
          </w:p>
        </w:tc>
        <w:tc>
          <w:tcPr>
            <w:tcW w:w="3166" w:type="pct"/>
            <w:vAlign w:val="center"/>
          </w:tcPr>
          <w:p>
            <w:pPr>
              <w:numPr>
                <w:ilvl w:val="0"/>
                <w:numId w:val="35"/>
              </w:numPr>
              <w:overflowPunct/>
              <w:adjustRightInd/>
              <w:spacing w:line="276" w:lineRule="auto"/>
              <w:jc w:val="both"/>
              <w:textAlignment w:val="auto"/>
              <w:rPr>
                <w:rFonts w:cs="Mangal"/>
                <w:b/>
                <w:sz w:val="22"/>
                <w:szCs w:val="22"/>
              </w:rPr>
            </w:pPr>
            <w:r>
              <w:rPr>
                <w:rFonts w:cs="Mangal"/>
                <w:b/>
                <w:sz w:val="22"/>
                <w:szCs w:val="22"/>
              </w:rPr>
              <w:t xml:space="preserve"> Moyens de transport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moyens de transport et en donner les avantages et les inconvénients</w:t>
            </w:r>
          </w:p>
          <w:p>
            <w:pPr>
              <w:overflowPunct/>
              <w:adjustRightInd/>
              <w:ind w:left="488"/>
              <w:textAlignment w:val="auto"/>
              <w:rPr>
                <w:rFonts w:cs="Mangal"/>
                <w:sz w:val="22"/>
                <w:szCs w:val="22"/>
              </w:rPr>
            </w:pPr>
            <w:r>
              <w:rPr>
                <w:rFonts w:cs="Mangal"/>
                <w:sz w:val="22"/>
                <w:szCs w:val="22"/>
              </w:rPr>
              <w:t>citer les différentes voies de communication (terrestres, fluviaux, aériens, …)</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sz w:val="22"/>
                <w:szCs w:val="22"/>
              </w:rPr>
            </w:pPr>
            <w:r>
              <w:rPr>
                <w:rFonts w:cs="Mangal"/>
                <w:b/>
                <w:sz w:val="22"/>
                <w:szCs w:val="22"/>
              </w:rPr>
              <w:t>Manutention</w:t>
            </w:r>
            <w:r>
              <w:rPr>
                <w:rFonts w:cs="Mangal"/>
                <w:sz w:val="22"/>
                <w:szCs w:val="22"/>
              </w:rPr>
              <w:t xml:space="preserve"> </w:t>
            </w:r>
            <w:r>
              <w:rPr>
                <w:rFonts w:cs="Mangal"/>
                <w:b/>
                <w:sz w:val="22"/>
                <w:szCs w:val="22"/>
              </w:rPr>
              <w:t>de biens et produits </w:t>
            </w:r>
            <w:r>
              <w:rPr>
                <w:rFonts w:cs="Mangal"/>
                <w:sz w:val="22"/>
                <w:szCs w:val="22"/>
              </w:rPr>
              <w: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conditions de chargement, de déchargement et de stockage</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Conditionnement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différents types de conditionnement (vrac, containers, palettes, etc.)</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Documents de transport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remplir un document de transport (douanier, etc.)</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Règlement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ou expliquer une règlementation (par exemple la réglementation concernant les produits dangereux)</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et présenter les règles de sécurité</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Code de la route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le code de la route</w:t>
            </w: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t xml:space="preserve"> etc.</w:t>
            </w:r>
          </w:p>
        </w:tc>
        <w:tc>
          <w:tcPr>
            <w:tcW w:w="3166" w:type="pct"/>
            <w:vAlign w:val="center"/>
          </w:tcPr>
          <w:p>
            <w:pPr>
              <w:overflowPunct/>
              <w:adjustRightInd/>
              <w:spacing w:line="276" w:lineRule="auto"/>
              <w:ind w:left="360"/>
              <w:jc w:val="both"/>
              <w:textAlignment w:val="auto"/>
              <w:rPr>
                <w:rFonts w:cs="Mangal"/>
                <w:sz w:val="22"/>
                <w:szCs w:val="22"/>
              </w:rPr>
            </w:pPr>
            <w:r>
              <w:rPr>
                <w:rFonts w:cs="Mangal"/>
                <w:sz w:val="22"/>
                <w:szCs w:val="22"/>
              </w:rPr>
              <w:t>…</w:t>
            </w:r>
          </w:p>
        </w:tc>
      </w:tr>
    </w:tbl>
    <w:p>
      <w:pPr>
        <w:rPr>
          <w:rFonts w:cs="Mangal"/>
          <w:b/>
          <w:bCs/>
          <w:sz w:val="22"/>
          <w:szCs w:val="22"/>
        </w:rPr>
      </w:pPr>
    </w:p>
    <w:p>
      <w:pPr>
        <w:rPr>
          <w:rFonts w:cs="Mangal"/>
          <w:b/>
          <w:bCs/>
          <w:sz w:val="22"/>
          <w:szCs w:val="22"/>
        </w:rPr>
      </w:pPr>
    </w:p>
    <w:p>
      <w:pPr>
        <w:numPr>
          <w:ilvl w:val="0"/>
          <w:numId w:val="41"/>
        </w:numPr>
        <w:textAlignment w:val="auto"/>
        <w:rPr>
          <w:rFonts w:cs="Mangal"/>
          <w:b/>
          <w:bCs/>
          <w:sz w:val="22"/>
          <w:szCs w:val="22"/>
        </w:rPr>
      </w:pPr>
      <w:r>
        <w:rPr>
          <w:rFonts w:cs="Mangal"/>
          <w:b/>
          <w:bCs/>
          <w:sz w:val="22"/>
          <w:szCs w:val="22"/>
        </w:rPr>
        <w:t>Domaines scientifique et technique</w:t>
      </w:r>
    </w:p>
    <w:p>
      <w:pPr>
        <w:rPr>
          <w:rFonts w:cs="Mangal"/>
          <w:b/>
          <w:bCs/>
          <w:color w:val="244061"/>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67"/>
        <w:gridCol w:w="5914"/>
      </w:tblGrid>
      <w:tr>
        <w:tc>
          <w:tcPr>
            <w:tcW w:w="3614" w:type="dxa"/>
          </w:tcPr>
          <w:p>
            <w:pPr>
              <w:overflowPunct/>
              <w:autoSpaceDE/>
              <w:adjustRightInd/>
              <w:spacing w:before="100" w:after="100"/>
              <w:ind w:left="567"/>
              <w:textAlignment w:val="auto"/>
              <w:rPr>
                <w:rFonts w:cs="Mangal"/>
                <w:sz w:val="22"/>
                <w:szCs w:val="22"/>
              </w:rPr>
            </w:pPr>
            <w:r>
              <w:rPr>
                <w:rFonts w:cs="Mangal"/>
                <w:sz w:val="22"/>
                <w:szCs w:val="22"/>
              </w:rPr>
              <w:t>1. Sciences</w:t>
            </w:r>
          </w:p>
          <w:p>
            <w:pPr>
              <w:rPr>
                <w:rFonts w:cs="Mangal"/>
                <w:sz w:val="22"/>
                <w:szCs w:val="22"/>
              </w:rPr>
            </w:pP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comprendre et dire des nombres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comprendre et lire des formules mathématiques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citer les différentes mesures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des formes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propriétés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expliquer la structure de l’atome, etc.</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2. Environnement et écologie</w:t>
            </w:r>
          </w:p>
          <w:p>
            <w:pPr>
              <w:autoSpaceDE/>
              <w:spacing w:before="100" w:after="100"/>
              <w:ind w:left="567"/>
              <w:rPr>
                <w:rFonts w:cs="Mangal"/>
                <w:sz w:val="22"/>
                <w:szCs w:val="22"/>
              </w:rPr>
            </w:pP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lastRenderedPageBreak/>
              <w:t xml:space="preserve">décrire l’équilibre des relations entre plantes, animaux, </w:t>
            </w:r>
            <w:r>
              <w:rPr>
                <w:bCs/>
                <w:sz w:val="22"/>
              </w:rPr>
              <w:lastRenderedPageBreak/>
              <w:t>personnes et environnement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différentes formes de pollution, leurs origines et conséquences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expliquer la chaîne alimentaire </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lastRenderedPageBreak/>
              <w:t>3. Biotechnologies/génétique</w:t>
            </w:r>
          </w:p>
          <w:p>
            <w:pPr>
              <w:autoSpaceDE/>
              <w:spacing w:before="100" w:after="100"/>
              <w:ind w:left="567"/>
              <w:rPr>
                <w:rFonts w:cs="Mangal"/>
                <w:sz w:val="22"/>
                <w:szCs w:val="22"/>
              </w:rPr>
            </w:pP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comprendre des documents relatifs à l’éthique dans la recherche scientifique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et présenter les débouchés de la biotechnologie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équipements d’un laboratoire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énoncer les éléments et les formules chimiques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s’exprimer brièvement au sujet des découvertes récentes dans les sciences de la vie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s’exprimer au sujet de la biodiversité</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4. Mécanique/construction</w:t>
            </w: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identifier les éléments des plans de construction et de schémas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expliciter les ajouts, retraits, modifications dans un schéma et/ou un plan</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5. Electricité/électronique</w:t>
            </w: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commenter un plan de pose des éléments électriques et ensembles électroniques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composants électriques et électroniques d’un circuit (alimentation, commutation électronique, filtre, amplification, liaisons, automates programmables, etc.) et leur mise en œuvre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expliciter les principes de base de fonctionnement d’un transformateur, d’un moteur, etc. </w:t>
            </w:r>
          </w:p>
        </w:tc>
      </w:tr>
    </w:tbl>
    <w:p>
      <w:pPr>
        <w:rPr>
          <w:rFonts w:cs="Mangal"/>
          <w:b/>
          <w:bCs/>
          <w:sz w:val="22"/>
          <w:szCs w:val="22"/>
        </w:rPr>
      </w:pPr>
    </w:p>
    <w:p>
      <w:pPr>
        <w:rPr>
          <w:rFonts w:cs="Mangal"/>
          <w:b/>
          <w:bCs/>
          <w:sz w:val="22"/>
          <w:szCs w:val="22"/>
        </w:rPr>
      </w:pPr>
    </w:p>
    <w:p>
      <w:pPr>
        <w:numPr>
          <w:ilvl w:val="0"/>
          <w:numId w:val="41"/>
        </w:numPr>
        <w:textAlignment w:val="auto"/>
        <w:rPr>
          <w:rFonts w:cs="Mangal"/>
          <w:b/>
          <w:bCs/>
          <w:sz w:val="22"/>
          <w:szCs w:val="22"/>
        </w:rPr>
      </w:pPr>
      <w:r>
        <w:rPr>
          <w:rFonts w:cs="Mangal"/>
          <w:b/>
          <w:bCs/>
          <w:sz w:val="22"/>
          <w:szCs w:val="22"/>
        </w:rPr>
        <w:t xml:space="preserve"> Domaine </w:t>
      </w:r>
      <w:r>
        <w:rPr>
          <w:rFonts w:ascii="Times" w:hAnsi="Times"/>
          <w:b/>
          <w:sz w:val="22"/>
          <w:szCs w:val="22"/>
        </w:rPr>
        <w:t>artistique</w:t>
      </w:r>
    </w:p>
    <w:p>
      <w:pPr>
        <w:rPr>
          <w:b/>
          <w:color w:val="FF0000"/>
          <w:sz w:val="22"/>
        </w:rPr>
      </w:pPr>
    </w:p>
    <w:p>
      <w:pPr>
        <w:rPr>
          <w:color w:val="FF0000"/>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6237"/>
      </w:tblGrid>
      <w:tr>
        <w:tc>
          <w:tcPr>
            <w:tcW w:w="3614" w:type="dxa"/>
          </w:tcPr>
          <w:p>
            <w:pPr>
              <w:overflowPunct/>
              <w:autoSpaceDE/>
              <w:adjustRightInd/>
              <w:spacing w:before="100" w:after="100"/>
              <w:ind w:left="567"/>
              <w:textAlignment w:val="auto"/>
              <w:rPr>
                <w:rFonts w:cs="Mangal"/>
                <w:sz w:val="22"/>
                <w:szCs w:val="22"/>
              </w:rPr>
            </w:pPr>
            <w:r>
              <w:rPr>
                <w:rFonts w:cs="Mangal"/>
                <w:sz w:val="22"/>
                <w:szCs w:val="22"/>
              </w:rPr>
              <w:t>1. Stylisme de mode</w:t>
            </w:r>
          </w:p>
        </w:tc>
        <w:tc>
          <w:tcPr>
            <w:tcW w:w="6237"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vêtements et d’accessoires vestimentaires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matières, les couleurs, les formes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 modèle de vêtement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une silhouette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présenter une œuvre d’art</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2. Publicité</w:t>
            </w:r>
          </w:p>
        </w:tc>
        <w:tc>
          <w:tcPr>
            <w:tcW w:w="6237"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média</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grands courants artistiques depuis le début du 19ème siècle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une œuvre d’art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une image publicitaire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présenter un projet, un concept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concevoir un message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lastRenderedPageBreak/>
              <w:t>présenter un logo</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 stand d’étalage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décrire un packaging (matériaux, formes couleurs), ses impacts, ses avantages et ses inconvénients </w:t>
            </w:r>
          </w:p>
        </w:tc>
      </w:tr>
    </w:tbl>
    <w:p/>
    <w:p/>
    <w:p>
      <w:pPr>
        <w:ind w:left="284"/>
        <w:rPr>
          <w:b/>
        </w:rPr>
      </w:pPr>
      <w:r>
        <w:rPr>
          <w:b/>
        </w:rPr>
        <w:t xml:space="preserve">D. Etc. </w:t>
      </w:r>
    </w:p>
    <w:p>
      <w:pPr>
        <w:overflowPunct/>
        <w:adjustRightInd/>
        <w:ind w:left="720"/>
        <w:textAlignment w:val="auto"/>
      </w:pPr>
    </w:p>
    <w:p>
      <w:pPr>
        <w:rPr>
          <w:b/>
          <w:sz w:val="22"/>
        </w:rPr>
      </w:pPr>
    </w:p>
    <w:p>
      <w:pPr>
        <w:jc w:val="both"/>
        <w:rPr>
          <w:sz w:val="22"/>
        </w:rPr>
      </w:pPr>
    </w:p>
    <w:p>
      <w:pPr>
        <w:ind w:left="426" w:hanging="426"/>
        <w:rPr>
          <w:b/>
          <w:sz w:val="22"/>
        </w:rPr>
      </w:pPr>
      <w:r>
        <w:rPr>
          <w:b/>
          <w:sz w:val="22"/>
        </w:rPr>
        <w:t>5.</w:t>
      </w:r>
      <w:r>
        <w:rPr>
          <w:b/>
          <w:sz w:val="22"/>
        </w:rPr>
        <w:tab/>
        <w:t>CONSTITUTION DES GROUPES OU REGROUPEMENT</w:t>
      </w:r>
    </w:p>
    <w:p>
      <w:pPr>
        <w:rPr>
          <w:sz w:val="22"/>
        </w:rPr>
      </w:pPr>
    </w:p>
    <w:p>
      <w:pPr>
        <w:ind w:left="426"/>
        <w:jc w:val="both"/>
      </w:pPr>
      <w:r>
        <w:rPr>
          <w:sz w:val="22"/>
        </w:rPr>
        <w:t>Les groupes seront constitués en tenant compte de l’infrastructure, des finalités générales des cours de langues et des finalités particulières de l’unité d'enseignement.</w:t>
      </w:r>
    </w:p>
    <w:p/>
    <w:p>
      <w:pPr>
        <w:jc w:val="both"/>
        <w:rPr>
          <w:sz w:val="22"/>
        </w:rPr>
      </w:pPr>
    </w:p>
    <w:p>
      <w:pPr>
        <w:jc w:val="both"/>
        <w:rPr>
          <w:sz w:val="22"/>
        </w:rPr>
      </w:pPr>
    </w:p>
    <w:p>
      <w:pPr>
        <w:ind w:left="426" w:hanging="426"/>
        <w:rPr>
          <w:b/>
          <w:sz w:val="22"/>
        </w:rPr>
      </w:pPr>
      <w:r>
        <w:rPr>
          <w:b/>
          <w:sz w:val="22"/>
        </w:rPr>
        <w:t>6.</w:t>
      </w:r>
      <w:r>
        <w:rPr>
          <w:b/>
          <w:sz w:val="22"/>
        </w:rPr>
        <w:tab/>
        <w:t>CHARGE(S) DE COURS</w:t>
      </w:r>
    </w:p>
    <w:p>
      <w:pPr>
        <w:rPr>
          <w:sz w:val="22"/>
        </w:rPr>
      </w:pPr>
    </w:p>
    <w:p>
      <w:pPr>
        <w:ind w:left="426"/>
        <w:rPr>
          <w:sz w:val="22"/>
        </w:rPr>
      </w:pPr>
      <w:r>
        <w:rPr>
          <w:sz w:val="22"/>
        </w:rPr>
        <w:t xml:space="preserve">Le chargé de cours sera un enseignant pour l’activité d’enseignement « </w:t>
      </w:r>
      <w:r>
        <w:rPr>
          <w:rFonts w:cs="Mangal"/>
          <w:spacing w:val="-2"/>
          <w:sz w:val="22"/>
          <w:szCs w:val="22"/>
        </w:rPr>
        <w:t>Langue en situation socioprofessionnelle » et</w:t>
      </w:r>
      <w:r>
        <w:rPr>
          <w:sz w:val="22"/>
        </w:rPr>
        <w:t xml:space="preserve"> un enseignant ou un expert pour l’activité d’enseignement « </w:t>
      </w:r>
      <w:r>
        <w:rPr>
          <w:rFonts w:cs="Mangal"/>
          <w:spacing w:val="-2"/>
          <w:sz w:val="22"/>
          <w:szCs w:val="22"/>
        </w:rPr>
        <w:t>Langue appliquée au domaine considéré »</w:t>
      </w:r>
      <w:r>
        <w:rPr>
          <w:sz w:val="22"/>
        </w:rPr>
        <w:t>.</w:t>
      </w:r>
    </w:p>
    <w:p>
      <w:pPr>
        <w:rPr>
          <w:sz w:val="22"/>
        </w:rPr>
      </w:pPr>
      <w:r>
        <w:rPr>
          <w:sz w:val="22"/>
        </w:rPr>
        <w:t xml:space="preserve">        L’expert devra justifier de compétences particulières issues d’une expérience professionnelle </w:t>
      </w:r>
    </w:p>
    <w:p>
      <w:pPr>
        <w:rPr>
          <w:sz w:val="22"/>
        </w:rPr>
      </w:pPr>
      <w:r>
        <w:rPr>
          <w:sz w:val="22"/>
        </w:rPr>
        <w:t xml:space="preserve">        actualisée en  relation avec le programme du présent dossier pédagogique.</w:t>
      </w:r>
    </w:p>
    <w:p>
      <w:pPr>
        <w:ind w:left="426"/>
        <w:rPr>
          <w:sz w:val="22"/>
        </w:rPr>
      </w:pPr>
    </w:p>
    <w:p/>
    <w:p/>
    <w:p>
      <w:pPr>
        <w:tabs>
          <w:tab w:val="left" w:pos="717"/>
        </w:tabs>
        <w:rPr>
          <w:rFonts w:cs="Mangal"/>
          <w:spacing w:val="-2"/>
          <w:sz w:val="22"/>
          <w:szCs w:val="22"/>
        </w:rPr>
      </w:pPr>
      <w:r>
        <w:rPr>
          <w:rFonts w:cs="Mangal"/>
          <w:b/>
          <w:bCs/>
          <w:spacing w:val="-2"/>
          <w:sz w:val="22"/>
          <w:szCs w:val="22"/>
        </w:rPr>
        <w:t>7.     HORAIRE MINIMUM DE L’UNITE D'ENSEIGNEMENT</w:t>
      </w:r>
    </w:p>
    <w:p>
      <w:pPr>
        <w:suppressAutoHyphens/>
        <w:jc w:val="both"/>
        <w:rPr>
          <w:rFonts w:cs="Mangal"/>
          <w:spacing w:val="-2"/>
          <w:sz w:val="22"/>
          <w:szCs w:val="22"/>
        </w:rPr>
      </w:pPr>
    </w:p>
    <w:tbl>
      <w:tblPr>
        <w:tblW w:w="8710" w:type="dxa"/>
        <w:tblInd w:w="36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0"/>
        <w:gridCol w:w="1620"/>
        <w:gridCol w:w="1440"/>
        <w:gridCol w:w="2160"/>
      </w:tblGrid>
      <w:tr>
        <w:trPr>
          <w:trHeight w:val="315"/>
        </w:trPr>
        <w:tc>
          <w:tcPr>
            <w:tcW w:w="3490" w:type="dxa"/>
            <w:tcBorders>
              <w:top w:val="single" w:sz="12" w:space="0" w:color="auto"/>
            </w:tcBorders>
          </w:tcPr>
          <w:p>
            <w:pPr>
              <w:suppressAutoHyphens/>
              <w:ind w:left="540" w:hanging="540"/>
              <w:jc w:val="both"/>
              <w:rPr>
                <w:rFonts w:cs="Mangal"/>
                <w:spacing w:val="-2"/>
                <w:sz w:val="22"/>
                <w:szCs w:val="22"/>
              </w:rPr>
            </w:pPr>
            <w:r>
              <w:rPr>
                <w:rFonts w:cs="Mangal"/>
                <w:spacing w:val="-2"/>
                <w:sz w:val="22"/>
                <w:szCs w:val="22"/>
              </w:rPr>
              <w:t>7.1.</w:t>
            </w:r>
            <w:r>
              <w:rPr>
                <w:rFonts w:cs="Mangal"/>
                <w:spacing w:val="-2"/>
                <w:sz w:val="22"/>
                <w:szCs w:val="22"/>
              </w:rPr>
              <w:tab/>
            </w:r>
            <w:r>
              <w:rPr>
                <w:rFonts w:cs="Mangal"/>
                <w:b/>
                <w:spacing w:val="-2"/>
                <w:sz w:val="22"/>
                <w:szCs w:val="22"/>
              </w:rPr>
              <w:t>Dénomination du cours</w:t>
            </w:r>
          </w:p>
        </w:tc>
        <w:tc>
          <w:tcPr>
            <w:tcW w:w="1620" w:type="dxa"/>
            <w:tcBorders>
              <w:top w:val="single" w:sz="12" w:space="0" w:color="auto"/>
            </w:tcBorders>
          </w:tcPr>
          <w:p>
            <w:pPr>
              <w:suppressAutoHyphens/>
              <w:jc w:val="center"/>
              <w:rPr>
                <w:rFonts w:cs="Mangal"/>
                <w:spacing w:val="-2"/>
                <w:sz w:val="22"/>
                <w:szCs w:val="22"/>
              </w:rPr>
            </w:pPr>
            <w:r>
              <w:rPr>
                <w:rFonts w:cs="Mangal"/>
                <w:spacing w:val="-2"/>
                <w:sz w:val="22"/>
                <w:szCs w:val="22"/>
              </w:rPr>
              <w:t>Classement</w:t>
            </w:r>
          </w:p>
        </w:tc>
        <w:tc>
          <w:tcPr>
            <w:tcW w:w="1440" w:type="dxa"/>
            <w:tcBorders>
              <w:top w:val="single" w:sz="12" w:space="0" w:color="auto"/>
            </w:tcBorders>
          </w:tcPr>
          <w:p>
            <w:pPr>
              <w:suppressAutoHyphens/>
              <w:jc w:val="center"/>
              <w:rPr>
                <w:rFonts w:cs="Mangal"/>
                <w:spacing w:val="-2"/>
                <w:sz w:val="22"/>
                <w:szCs w:val="22"/>
              </w:rPr>
            </w:pPr>
            <w:r>
              <w:rPr>
                <w:rFonts w:cs="Mangal"/>
                <w:spacing w:val="-2"/>
                <w:sz w:val="22"/>
                <w:szCs w:val="22"/>
              </w:rPr>
              <w:t>Code U</w:t>
            </w:r>
          </w:p>
        </w:tc>
        <w:tc>
          <w:tcPr>
            <w:tcW w:w="2160" w:type="dxa"/>
            <w:tcBorders>
              <w:top w:val="single" w:sz="12" w:space="0" w:color="auto"/>
            </w:tcBorders>
          </w:tcPr>
          <w:p>
            <w:pPr>
              <w:suppressAutoHyphens/>
              <w:jc w:val="center"/>
              <w:rPr>
                <w:rFonts w:cs="Mangal"/>
                <w:spacing w:val="-2"/>
                <w:sz w:val="22"/>
                <w:szCs w:val="22"/>
              </w:rPr>
            </w:pPr>
            <w:r>
              <w:rPr>
                <w:rFonts w:cs="Mangal"/>
                <w:spacing w:val="-2"/>
                <w:sz w:val="22"/>
                <w:szCs w:val="22"/>
              </w:rPr>
              <w:t>Nombre de périodes</w:t>
            </w:r>
          </w:p>
        </w:tc>
      </w:tr>
      <w:tr>
        <w:tc>
          <w:tcPr>
            <w:tcW w:w="3490" w:type="dxa"/>
          </w:tcPr>
          <w:p>
            <w:pPr>
              <w:suppressAutoHyphens/>
              <w:ind w:left="540"/>
              <w:rPr>
                <w:rFonts w:cs="Mangal"/>
                <w:spacing w:val="-2"/>
                <w:sz w:val="22"/>
                <w:szCs w:val="22"/>
              </w:rPr>
            </w:pPr>
            <w:r>
              <w:rPr>
                <w:rFonts w:cs="Mangal"/>
                <w:spacing w:val="-2"/>
                <w:sz w:val="22"/>
                <w:szCs w:val="22"/>
              </w:rPr>
              <w:t>Langue en situation socioprofessionnelle</w:t>
            </w:r>
          </w:p>
        </w:tc>
        <w:tc>
          <w:tcPr>
            <w:tcW w:w="1620" w:type="dxa"/>
          </w:tcPr>
          <w:p>
            <w:pPr>
              <w:suppressAutoHyphens/>
              <w:spacing w:before="120"/>
              <w:jc w:val="center"/>
              <w:rPr>
                <w:rFonts w:cs="Mangal"/>
                <w:spacing w:val="-2"/>
                <w:sz w:val="22"/>
                <w:szCs w:val="22"/>
              </w:rPr>
            </w:pPr>
            <w:r>
              <w:rPr>
                <w:rFonts w:cs="Mangal"/>
                <w:spacing w:val="-2"/>
                <w:sz w:val="22"/>
                <w:szCs w:val="22"/>
              </w:rPr>
              <w:t>CG</w:t>
            </w:r>
          </w:p>
        </w:tc>
        <w:tc>
          <w:tcPr>
            <w:tcW w:w="1440" w:type="dxa"/>
          </w:tcPr>
          <w:p>
            <w:pPr>
              <w:suppressAutoHyphens/>
              <w:spacing w:before="120"/>
              <w:jc w:val="center"/>
              <w:rPr>
                <w:rFonts w:cs="Mangal"/>
                <w:spacing w:val="-2"/>
                <w:sz w:val="22"/>
                <w:szCs w:val="22"/>
              </w:rPr>
            </w:pPr>
            <w:r>
              <w:rPr>
                <w:rFonts w:cs="Mangal"/>
                <w:spacing w:val="-2"/>
                <w:sz w:val="22"/>
                <w:szCs w:val="22"/>
              </w:rPr>
              <w:t>A</w:t>
            </w:r>
          </w:p>
        </w:tc>
        <w:tc>
          <w:tcPr>
            <w:tcW w:w="2160" w:type="dxa"/>
          </w:tcPr>
          <w:p>
            <w:pPr>
              <w:suppressAutoHyphens/>
              <w:spacing w:before="120"/>
              <w:jc w:val="center"/>
              <w:rPr>
                <w:rFonts w:cs="Mangal"/>
                <w:spacing w:val="-2"/>
                <w:sz w:val="22"/>
                <w:szCs w:val="22"/>
              </w:rPr>
            </w:pPr>
            <w:r>
              <w:rPr>
                <w:rFonts w:cs="Mangal"/>
                <w:spacing w:val="-2"/>
                <w:sz w:val="22"/>
                <w:szCs w:val="22"/>
              </w:rPr>
              <w:t>44</w:t>
            </w:r>
          </w:p>
        </w:tc>
      </w:tr>
      <w:tr>
        <w:tc>
          <w:tcPr>
            <w:tcW w:w="3490" w:type="dxa"/>
          </w:tcPr>
          <w:p>
            <w:pPr>
              <w:suppressAutoHyphens/>
              <w:ind w:left="540"/>
              <w:rPr>
                <w:rFonts w:cs="Mangal"/>
                <w:spacing w:val="-2"/>
                <w:sz w:val="22"/>
                <w:szCs w:val="22"/>
              </w:rPr>
            </w:pPr>
            <w:r>
              <w:rPr>
                <w:rFonts w:cs="Mangal"/>
                <w:spacing w:val="-2"/>
                <w:sz w:val="22"/>
                <w:szCs w:val="22"/>
              </w:rPr>
              <w:t>Langue appliquée au domaine considéré</w:t>
            </w:r>
          </w:p>
        </w:tc>
        <w:tc>
          <w:tcPr>
            <w:tcW w:w="1620" w:type="dxa"/>
          </w:tcPr>
          <w:p>
            <w:pPr>
              <w:suppressAutoHyphens/>
              <w:spacing w:before="120"/>
              <w:jc w:val="center"/>
              <w:rPr>
                <w:rFonts w:cs="Mangal"/>
                <w:spacing w:val="-2"/>
                <w:sz w:val="22"/>
                <w:szCs w:val="22"/>
              </w:rPr>
            </w:pPr>
            <w:r>
              <w:rPr>
                <w:rFonts w:cs="Mangal"/>
                <w:spacing w:val="-2"/>
                <w:sz w:val="22"/>
                <w:szCs w:val="22"/>
              </w:rPr>
              <w:t>CT</w:t>
            </w:r>
          </w:p>
        </w:tc>
        <w:tc>
          <w:tcPr>
            <w:tcW w:w="1440" w:type="dxa"/>
          </w:tcPr>
          <w:p>
            <w:pPr>
              <w:suppressAutoHyphens/>
              <w:spacing w:before="120"/>
              <w:jc w:val="center"/>
              <w:rPr>
                <w:rFonts w:cs="Mangal"/>
                <w:spacing w:val="-2"/>
                <w:sz w:val="22"/>
                <w:szCs w:val="22"/>
              </w:rPr>
            </w:pPr>
            <w:r>
              <w:rPr>
                <w:rFonts w:cs="Mangal"/>
                <w:spacing w:val="-2"/>
                <w:sz w:val="22"/>
                <w:szCs w:val="22"/>
              </w:rPr>
              <w:t>B</w:t>
            </w:r>
          </w:p>
        </w:tc>
        <w:tc>
          <w:tcPr>
            <w:tcW w:w="2160" w:type="dxa"/>
          </w:tcPr>
          <w:p>
            <w:pPr>
              <w:suppressAutoHyphens/>
              <w:spacing w:before="120"/>
              <w:jc w:val="center"/>
              <w:rPr>
                <w:rFonts w:cs="Mangal"/>
                <w:spacing w:val="-2"/>
                <w:sz w:val="22"/>
                <w:szCs w:val="22"/>
              </w:rPr>
            </w:pPr>
            <w:r>
              <w:rPr>
                <w:rFonts w:cs="Mangal"/>
                <w:spacing w:val="-2"/>
                <w:sz w:val="22"/>
                <w:szCs w:val="22"/>
              </w:rPr>
              <w:t>20</w:t>
            </w:r>
          </w:p>
        </w:tc>
      </w:tr>
      <w:tr>
        <w:tc>
          <w:tcPr>
            <w:tcW w:w="3490" w:type="dxa"/>
          </w:tcPr>
          <w:p>
            <w:pPr>
              <w:suppressAutoHyphens/>
              <w:ind w:left="540" w:hanging="540"/>
              <w:jc w:val="both"/>
              <w:rPr>
                <w:rFonts w:cs="Mangal"/>
                <w:spacing w:val="-2"/>
                <w:sz w:val="22"/>
                <w:szCs w:val="22"/>
              </w:rPr>
            </w:pPr>
            <w:r>
              <w:rPr>
                <w:rFonts w:cs="Mangal"/>
                <w:spacing w:val="-2"/>
                <w:sz w:val="22"/>
                <w:szCs w:val="22"/>
              </w:rPr>
              <w:t>7.2.</w:t>
            </w:r>
            <w:r>
              <w:rPr>
                <w:rFonts w:cs="Mangal"/>
                <w:spacing w:val="-2"/>
                <w:sz w:val="22"/>
                <w:szCs w:val="22"/>
              </w:rPr>
              <w:tab/>
              <w:t>Part d'autonomie</w:t>
            </w:r>
          </w:p>
        </w:tc>
        <w:tc>
          <w:tcPr>
            <w:tcW w:w="1620" w:type="dxa"/>
          </w:tcPr>
          <w:p>
            <w:pPr>
              <w:suppressAutoHyphens/>
              <w:jc w:val="both"/>
              <w:rPr>
                <w:rFonts w:cs="Mangal"/>
                <w:spacing w:val="-2"/>
                <w:sz w:val="22"/>
                <w:szCs w:val="22"/>
              </w:rPr>
            </w:pPr>
          </w:p>
        </w:tc>
        <w:tc>
          <w:tcPr>
            <w:tcW w:w="1440" w:type="dxa"/>
          </w:tcPr>
          <w:p>
            <w:pPr>
              <w:suppressAutoHyphens/>
              <w:jc w:val="center"/>
              <w:rPr>
                <w:rFonts w:cs="Mangal"/>
                <w:spacing w:val="-2"/>
                <w:sz w:val="22"/>
                <w:szCs w:val="22"/>
              </w:rPr>
            </w:pPr>
            <w:r>
              <w:rPr>
                <w:rFonts w:cs="Mangal"/>
                <w:spacing w:val="-2"/>
                <w:sz w:val="22"/>
                <w:szCs w:val="22"/>
              </w:rPr>
              <w:t>P</w:t>
            </w:r>
          </w:p>
        </w:tc>
        <w:tc>
          <w:tcPr>
            <w:tcW w:w="2160" w:type="dxa"/>
          </w:tcPr>
          <w:p>
            <w:pPr>
              <w:suppressAutoHyphens/>
              <w:jc w:val="center"/>
              <w:rPr>
                <w:rFonts w:cs="Mangal"/>
                <w:spacing w:val="-2"/>
                <w:sz w:val="22"/>
                <w:szCs w:val="22"/>
              </w:rPr>
            </w:pPr>
            <w:r>
              <w:rPr>
                <w:rFonts w:cs="Mangal"/>
                <w:spacing w:val="-2"/>
                <w:sz w:val="22"/>
                <w:szCs w:val="22"/>
              </w:rPr>
              <w:t>16</w:t>
            </w:r>
          </w:p>
        </w:tc>
      </w:tr>
      <w:tr>
        <w:tc>
          <w:tcPr>
            <w:tcW w:w="3490" w:type="dxa"/>
            <w:tcBorders>
              <w:bottom w:val="single" w:sz="12" w:space="0" w:color="auto"/>
            </w:tcBorders>
          </w:tcPr>
          <w:p>
            <w:pPr>
              <w:suppressAutoHyphens/>
              <w:jc w:val="both"/>
              <w:rPr>
                <w:rFonts w:cs="Mangal"/>
                <w:spacing w:val="-2"/>
                <w:sz w:val="22"/>
                <w:szCs w:val="22"/>
              </w:rPr>
            </w:pPr>
            <w:r>
              <w:rPr>
                <w:rFonts w:cs="Mangal"/>
                <w:spacing w:val="-2"/>
                <w:sz w:val="22"/>
                <w:szCs w:val="22"/>
              </w:rPr>
              <w:t>Total  des périodes</w:t>
            </w:r>
          </w:p>
        </w:tc>
        <w:tc>
          <w:tcPr>
            <w:tcW w:w="1620" w:type="dxa"/>
            <w:tcBorders>
              <w:bottom w:val="single" w:sz="12" w:space="0" w:color="auto"/>
            </w:tcBorders>
          </w:tcPr>
          <w:p>
            <w:pPr>
              <w:suppressAutoHyphens/>
              <w:jc w:val="both"/>
              <w:rPr>
                <w:rFonts w:cs="Mangal"/>
                <w:spacing w:val="-2"/>
                <w:sz w:val="22"/>
                <w:szCs w:val="22"/>
              </w:rPr>
            </w:pPr>
          </w:p>
        </w:tc>
        <w:tc>
          <w:tcPr>
            <w:tcW w:w="1440" w:type="dxa"/>
            <w:tcBorders>
              <w:bottom w:val="single" w:sz="12" w:space="0" w:color="auto"/>
            </w:tcBorders>
          </w:tcPr>
          <w:p>
            <w:pPr>
              <w:suppressAutoHyphens/>
              <w:jc w:val="both"/>
              <w:rPr>
                <w:rFonts w:cs="Mangal"/>
                <w:spacing w:val="-2"/>
                <w:sz w:val="22"/>
                <w:szCs w:val="22"/>
              </w:rPr>
            </w:pPr>
          </w:p>
        </w:tc>
        <w:tc>
          <w:tcPr>
            <w:tcW w:w="2160" w:type="dxa"/>
            <w:tcBorders>
              <w:bottom w:val="single" w:sz="12" w:space="0" w:color="auto"/>
            </w:tcBorders>
          </w:tcPr>
          <w:p>
            <w:pPr>
              <w:suppressAutoHyphens/>
              <w:jc w:val="center"/>
              <w:rPr>
                <w:rFonts w:cs="Mangal"/>
                <w:spacing w:val="-2"/>
                <w:sz w:val="22"/>
                <w:szCs w:val="22"/>
              </w:rPr>
            </w:pPr>
            <w:r>
              <w:rPr>
                <w:rFonts w:cs="Mangal"/>
                <w:spacing w:val="-2"/>
                <w:sz w:val="22"/>
                <w:szCs w:val="22"/>
              </w:rPr>
              <w:t>80</w:t>
            </w:r>
          </w:p>
        </w:tc>
      </w:tr>
    </w:tbl>
    <w:p>
      <w:pPr>
        <w:pStyle w:val="Corpsdetexte2"/>
        <w:rPr>
          <w:rFonts w:cs="Mangal"/>
        </w:rPr>
      </w:pPr>
      <w:r>
        <w:t xml:space="preserve"> </w:t>
      </w:r>
    </w:p>
    <w:p/>
    <w:sectPr>
      <w:headerReference w:type="even" r:id="rId7"/>
      <w:headerReference w:type="default" r:id="rId8"/>
      <w:footerReference w:type="even" r:id="rId9"/>
      <w:footerReference w:type="default" r:id="rId10"/>
      <w:headerReference w:type="first" r:id="rId11"/>
      <w:footerReference w:type="first" r:id="rId12"/>
      <w:pgSz w:w="11907" w:h="16840"/>
      <w:pgMar w:top="1135" w:right="1418" w:bottom="1276"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Serif">
    <w:panose1 w:val="00000000000000000000"/>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r>
      <w:rPr>
        <w:rFonts w:ascii="Calibri" w:hAnsi="Calibri"/>
      </w:rPr>
      <w:t xml:space="preserve">LNG sup – UE 6 </w:t>
    </w:r>
    <w:r>
      <w:rPr>
        <w:rFonts w:ascii="Calibri" w:hAnsi="Calibri"/>
      </w:rPr>
      <w:tab/>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noProof/>
      </w:rPr>
      <w:t>2</w:t>
    </w:r>
    <w:r>
      <w:rPr>
        <w:rFonts w:ascii="Calibri" w:hAnsi="Calibri"/>
      </w:rPr>
      <w:fldChar w:fldCharType="end"/>
    </w:r>
    <w:r>
      <w:rPr>
        <w:rFonts w:ascii="Calibri" w:hAnsi="Calibri"/>
      </w:rPr>
      <w:t>/</w:t>
    </w:r>
    <w:r>
      <w:rPr>
        <w:rStyle w:val="Numrodepage"/>
        <w:rFonts w:ascii="Calibri" w:hAnsi="Calibri"/>
      </w:rPr>
      <w:fldChar w:fldCharType="begin"/>
    </w:r>
    <w:r>
      <w:rPr>
        <w:rStyle w:val="Numrodepage"/>
        <w:rFonts w:ascii="Calibri" w:hAnsi="Calibri"/>
      </w:rPr>
      <w:instrText xml:space="preserve"> NUMPAGES </w:instrText>
    </w:r>
    <w:r>
      <w:rPr>
        <w:rStyle w:val="Numrodepage"/>
        <w:rFonts w:ascii="Calibri" w:hAnsi="Calibri"/>
      </w:rPr>
      <w:fldChar w:fldCharType="separate"/>
    </w:r>
    <w:r>
      <w:rPr>
        <w:rStyle w:val="Numrodepage"/>
        <w:rFonts w:ascii="Calibri" w:hAnsi="Calibri"/>
        <w:noProof/>
      </w:rPr>
      <w:t>23</w:t>
    </w:r>
    <w:r>
      <w:rPr>
        <w:rStyle w:val="Numrodepage"/>
        <w:rFonts w:ascii="Calibri" w:hAnsi="Calibri"/>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rPr>
        <w:rFonts w:ascii="Calibri" w:hAnsi="Calibri"/>
      </w:rPr>
    </w:pPr>
    <w:r>
      <w:rPr>
        <w:rFonts w:ascii="Calibri" w:hAnsi="Calibri"/>
      </w:rPr>
      <w:tab/>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noProof/>
      </w:rPr>
      <w:t>1</w:t>
    </w:r>
    <w:r>
      <w:rPr>
        <w:rFonts w:ascii="Calibri" w:hAnsi="Calibri"/>
      </w:rPr>
      <w:fldChar w:fldCharType="end"/>
    </w:r>
    <w:r>
      <w:rPr>
        <w:rFonts w:ascii="Calibri" w:hAnsi="Calibri"/>
      </w:rPr>
      <w:t>/</w:t>
    </w:r>
    <w:r>
      <w:rPr>
        <w:rStyle w:val="Numrodepage"/>
        <w:rFonts w:ascii="Calibri" w:hAnsi="Calibri"/>
      </w:rPr>
      <w:fldChar w:fldCharType="begin"/>
    </w:r>
    <w:r>
      <w:rPr>
        <w:rStyle w:val="Numrodepage"/>
        <w:rFonts w:ascii="Calibri" w:hAnsi="Calibri"/>
      </w:rPr>
      <w:instrText xml:space="preserve"> NUMPAGES </w:instrText>
    </w:r>
    <w:r>
      <w:rPr>
        <w:rStyle w:val="Numrodepage"/>
        <w:rFonts w:ascii="Calibri" w:hAnsi="Calibri"/>
      </w:rPr>
      <w:fldChar w:fldCharType="separate"/>
    </w:r>
    <w:r>
      <w:rPr>
        <w:rStyle w:val="Numrodepage"/>
        <w:rFonts w:ascii="Calibri" w:hAnsi="Calibri"/>
        <w:noProof/>
      </w:rPr>
      <w:t>23</w:t>
    </w:r>
    <w:r>
      <w:rPr>
        <w:rStyle w:val="Numrodepage"/>
        <w:rFonts w:ascii="Calibri" w:hAnsi="Calibri"/>
      </w:rPr>
      <w:fldChar w:fldCharType="end"/>
    </w:r>
  </w:p>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pPr>
      <w:r>
        <w:rPr>
          <w:rStyle w:val="Appelnotedebasdep"/>
        </w:rPr>
        <w:footnoteRef/>
      </w:r>
      <w:r>
        <w:t xml:space="preserve"> </w:t>
      </w:r>
      <w:r>
        <w:rPr>
          <w:sz w:val="18"/>
          <w:szCs w:val="18"/>
        </w:rPr>
        <w:t xml:space="preserve">D’après le </w:t>
      </w:r>
      <w:r>
        <w:rPr>
          <w:i/>
        </w:rPr>
        <w:t>Cadre européen commun de référence pour les langues</w:t>
      </w:r>
      <w:r>
        <w:t>, Didier, Strasbourg, Paris, 2005, pp 72-73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70A4BF2"/>
    <w:lvl w:ilvl="0">
      <w:numFmt w:val="bullet"/>
      <w:lvlText w:val="*"/>
      <w:lvlJc w:val="left"/>
    </w:lvl>
  </w:abstractNum>
  <w:abstractNum w:abstractNumId="1" w15:restartNumberingAfterBreak="0">
    <w:nsid w:val="0318541A"/>
    <w:multiLevelType w:val="multilevel"/>
    <w:tmpl w:val="A4E20FC8"/>
    <w:lvl w:ilvl="0">
      <w:start w:val="3"/>
      <w:numFmt w:val="upperRoman"/>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5541D63"/>
    <w:multiLevelType w:val="hybridMultilevel"/>
    <w:tmpl w:val="11B0D720"/>
    <w:lvl w:ilvl="0" w:tplc="040C0001">
      <w:start w:val="1"/>
      <w:numFmt w:val="bullet"/>
      <w:lvlText w:val=""/>
      <w:lvlJc w:val="left"/>
      <w:pPr>
        <w:tabs>
          <w:tab w:val="num" w:pos="360"/>
        </w:tabs>
        <w:ind w:left="36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06132A3E"/>
    <w:multiLevelType w:val="hybridMultilevel"/>
    <w:tmpl w:val="1F707E32"/>
    <w:lvl w:ilvl="0" w:tplc="2BC21C92">
      <w:start w:val="1"/>
      <w:numFmt w:val="bullet"/>
      <w:lvlText w:val=""/>
      <w:lvlJc w:val="left"/>
      <w:pPr>
        <w:tabs>
          <w:tab w:val="num" w:pos="1544"/>
        </w:tabs>
        <w:ind w:left="1544" w:hanging="284"/>
      </w:pPr>
      <w:rPr>
        <w:rFonts w:ascii="Wingdings" w:hAnsi="Wingdings" w:hint="default"/>
      </w:rPr>
    </w:lvl>
    <w:lvl w:ilvl="1" w:tplc="CCFA1E6C">
      <w:start w:val="1"/>
      <w:numFmt w:val="bullet"/>
      <w:lvlText w:val=""/>
      <w:lvlJc w:val="left"/>
      <w:pPr>
        <w:tabs>
          <w:tab w:val="num" w:pos="2214"/>
        </w:tabs>
        <w:ind w:left="2214" w:hanging="283"/>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4" w15:restartNumberingAfterBreak="0">
    <w:nsid w:val="116C2056"/>
    <w:multiLevelType w:val="hybridMultilevel"/>
    <w:tmpl w:val="897CDEA2"/>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2BC21C92">
      <w:start w:val="1"/>
      <w:numFmt w:val="bullet"/>
      <w:lvlText w:val=""/>
      <w:lvlJc w:val="left"/>
      <w:pPr>
        <w:tabs>
          <w:tab w:val="num" w:pos="643"/>
        </w:tabs>
        <w:ind w:left="643" w:hanging="360"/>
      </w:pPr>
      <w:rPr>
        <w:rFonts w:ascii="Wingdings" w:hAnsi="Wingdings" w:hint="default"/>
        <w:sz w:val="18"/>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880F3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4A83578"/>
    <w:multiLevelType w:val="hybridMultilevel"/>
    <w:tmpl w:val="1868964E"/>
    <w:lvl w:ilvl="0" w:tplc="080C0015">
      <w:start w:val="6"/>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7" w15:restartNumberingAfterBreak="0">
    <w:nsid w:val="1A641BBD"/>
    <w:multiLevelType w:val="hybridMultilevel"/>
    <w:tmpl w:val="C7464626"/>
    <w:lvl w:ilvl="0" w:tplc="080C0015">
      <w:start w:val="1"/>
      <w:numFmt w:val="upperLetter"/>
      <w:lvlText w:val="%1."/>
      <w:lvlJc w:val="left"/>
      <w:pPr>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9B627D"/>
    <w:multiLevelType w:val="hybridMultilevel"/>
    <w:tmpl w:val="5BA663E4"/>
    <w:lvl w:ilvl="0" w:tplc="2BC21C92">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B520AD"/>
    <w:multiLevelType w:val="multilevel"/>
    <w:tmpl w:val="C082E9D6"/>
    <w:lvl w:ilvl="0">
      <w:start w:val="4"/>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22DC1D68"/>
    <w:multiLevelType w:val="hybridMultilevel"/>
    <w:tmpl w:val="AED6C162"/>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1" w15:restartNumberingAfterBreak="0">
    <w:nsid w:val="268F63A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A1521C6"/>
    <w:multiLevelType w:val="hybridMultilevel"/>
    <w:tmpl w:val="267822A2"/>
    <w:lvl w:ilvl="0" w:tplc="080C0015">
      <w:start w:val="2"/>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3" w15:restartNumberingAfterBreak="0">
    <w:nsid w:val="2A1A658A"/>
    <w:multiLevelType w:val="multilevel"/>
    <w:tmpl w:val="4118B736"/>
    <w:lvl w:ilvl="0">
      <w:start w:val="4"/>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4" w15:restartNumberingAfterBreak="0">
    <w:nsid w:val="3047421C"/>
    <w:multiLevelType w:val="hybridMultilevel"/>
    <w:tmpl w:val="D576A84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312E7D2F"/>
    <w:multiLevelType w:val="hybridMultilevel"/>
    <w:tmpl w:val="3B0CC6F2"/>
    <w:lvl w:ilvl="0" w:tplc="040C0001">
      <w:start w:val="1"/>
      <w:numFmt w:val="bullet"/>
      <w:lvlText w:val=""/>
      <w:lvlJc w:val="left"/>
      <w:pPr>
        <w:tabs>
          <w:tab w:val="num" w:pos="360"/>
        </w:tabs>
        <w:ind w:left="36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3144446D"/>
    <w:multiLevelType w:val="hybridMultilevel"/>
    <w:tmpl w:val="861ECBDC"/>
    <w:lvl w:ilvl="0" w:tplc="040C0005">
      <w:start w:val="1"/>
      <w:numFmt w:val="bullet"/>
      <w:lvlText w:val=""/>
      <w:lvlJc w:val="left"/>
      <w:pPr>
        <w:tabs>
          <w:tab w:val="num" w:pos="1724"/>
        </w:tabs>
        <w:ind w:left="1724" w:hanging="360"/>
      </w:pPr>
      <w:rPr>
        <w:rFonts w:ascii="Wingdings" w:hAnsi="Wingdings" w:hint="default"/>
      </w:rPr>
    </w:lvl>
    <w:lvl w:ilvl="1" w:tplc="040C0003" w:tentative="1">
      <w:start w:val="1"/>
      <w:numFmt w:val="bullet"/>
      <w:lvlText w:val="o"/>
      <w:lvlJc w:val="left"/>
      <w:pPr>
        <w:tabs>
          <w:tab w:val="num" w:pos="2444"/>
        </w:tabs>
        <w:ind w:left="2444" w:hanging="360"/>
      </w:pPr>
      <w:rPr>
        <w:rFonts w:ascii="Courier New" w:hAnsi="Courier New" w:hint="default"/>
      </w:rPr>
    </w:lvl>
    <w:lvl w:ilvl="2" w:tplc="040C0005" w:tentative="1">
      <w:start w:val="1"/>
      <w:numFmt w:val="bullet"/>
      <w:lvlText w:val=""/>
      <w:lvlJc w:val="left"/>
      <w:pPr>
        <w:tabs>
          <w:tab w:val="num" w:pos="3164"/>
        </w:tabs>
        <w:ind w:left="3164" w:hanging="360"/>
      </w:pPr>
      <w:rPr>
        <w:rFonts w:ascii="Wingdings" w:hAnsi="Wingdings" w:hint="default"/>
      </w:rPr>
    </w:lvl>
    <w:lvl w:ilvl="3" w:tplc="040C0001" w:tentative="1">
      <w:start w:val="1"/>
      <w:numFmt w:val="bullet"/>
      <w:lvlText w:val=""/>
      <w:lvlJc w:val="left"/>
      <w:pPr>
        <w:tabs>
          <w:tab w:val="num" w:pos="3884"/>
        </w:tabs>
        <w:ind w:left="3884" w:hanging="360"/>
      </w:pPr>
      <w:rPr>
        <w:rFonts w:ascii="Symbol" w:hAnsi="Symbol" w:hint="default"/>
      </w:rPr>
    </w:lvl>
    <w:lvl w:ilvl="4" w:tplc="040C0003" w:tentative="1">
      <w:start w:val="1"/>
      <w:numFmt w:val="bullet"/>
      <w:lvlText w:val="o"/>
      <w:lvlJc w:val="left"/>
      <w:pPr>
        <w:tabs>
          <w:tab w:val="num" w:pos="4604"/>
        </w:tabs>
        <w:ind w:left="4604" w:hanging="360"/>
      </w:pPr>
      <w:rPr>
        <w:rFonts w:ascii="Courier New" w:hAnsi="Courier New" w:hint="default"/>
      </w:rPr>
    </w:lvl>
    <w:lvl w:ilvl="5" w:tplc="040C0005" w:tentative="1">
      <w:start w:val="1"/>
      <w:numFmt w:val="bullet"/>
      <w:lvlText w:val=""/>
      <w:lvlJc w:val="left"/>
      <w:pPr>
        <w:tabs>
          <w:tab w:val="num" w:pos="5324"/>
        </w:tabs>
        <w:ind w:left="5324" w:hanging="360"/>
      </w:pPr>
      <w:rPr>
        <w:rFonts w:ascii="Wingdings" w:hAnsi="Wingdings" w:hint="default"/>
      </w:rPr>
    </w:lvl>
    <w:lvl w:ilvl="6" w:tplc="040C0001" w:tentative="1">
      <w:start w:val="1"/>
      <w:numFmt w:val="bullet"/>
      <w:lvlText w:val=""/>
      <w:lvlJc w:val="left"/>
      <w:pPr>
        <w:tabs>
          <w:tab w:val="num" w:pos="6044"/>
        </w:tabs>
        <w:ind w:left="6044" w:hanging="360"/>
      </w:pPr>
      <w:rPr>
        <w:rFonts w:ascii="Symbol" w:hAnsi="Symbol" w:hint="default"/>
      </w:rPr>
    </w:lvl>
    <w:lvl w:ilvl="7" w:tplc="040C0003" w:tentative="1">
      <w:start w:val="1"/>
      <w:numFmt w:val="bullet"/>
      <w:lvlText w:val="o"/>
      <w:lvlJc w:val="left"/>
      <w:pPr>
        <w:tabs>
          <w:tab w:val="num" w:pos="6764"/>
        </w:tabs>
        <w:ind w:left="6764" w:hanging="360"/>
      </w:pPr>
      <w:rPr>
        <w:rFonts w:ascii="Courier New" w:hAnsi="Courier New" w:hint="default"/>
      </w:rPr>
    </w:lvl>
    <w:lvl w:ilvl="8" w:tplc="040C0005" w:tentative="1">
      <w:start w:val="1"/>
      <w:numFmt w:val="bullet"/>
      <w:lvlText w:val=""/>
      <w:lvlJc w:val="left"/>
      <w:pPr>
        <w:tabs>
          <w:tab w:val="num" w:pos="7484"/>
        </w:tabs>
        <w:ind w:left="7484" w:hanging="360"/>
      </w:pPr>
      <w:rPr>
        <w:rFonts w:ascii="Wingdings" w:hAnsi="Wingdings" w:hint="default"/>
      </w:rPr>
    </w:lvl>
  </w:abstractNum>
  <w:abstractNum w:abstractNumId="17" w15:restartNumberingAfterBreak="0">
    <w:nsid w:val="401F2056"/>
    <w:multiLevelType w:val="singleLevel"/>
    <w:tmpl w:val="677EDE02"/>
    <w:lvl w:ilvl="0">
      <w:start w:val="1"/>
      <w:numFmt w:val="decimal"/>
      <w:lvlText w:val="%1."/>
      <w:lvlJc w:val="left"/>
      <w:pPr>
        <w:tabs>
          <w:tab w:val="num" w:pos="1211"/>
        </w:tabs>
        <w:ind w:left="1211" w:hanging="360"/>
      </w:pPr>
      <w:rPr>
        <w:rFonts w:cs="Times New Roman" w:hint="default"/>
      </w:rPr>
    </w:lvl>
  </w:abstractNum>
  <w:abstractNum w:abstractNumId="18" w15:restartNumberingAfterBreak="0">
    <w:nsid w:val="4067029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5825D73"/>
    <w:multiLevelType w:val="hybridMultilevel"/>
    <w:tmpl w:val="877877B6"/>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0" w15:restartNumberingAfterBreak="0">
    <w:nsid w:val="46840BD5"/>
    <w:multiLevelType w:val="hybridMultilevel"/>
    <w:tmpl w:val="5386B246"/>
    <w:lvl w:ilvl="0" w:tplc="E9784F16">
      <w:start w:val="8"/>
      <w:numFmt w:val="decimal"/>
      <w:lvlText w:val="%1."/>
      <w:lvlJc w:val="left"/>
      <w:pPr>
        <w:ind w:left="1146" w:hanging="360"/>
      </w:pPr>
      <w:rPr>
        <w:rFonts w:cs="Times New Roman" w:hint="default"/>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21" w15:restartNumberingAfterBreak="0">
    <w:nsid w:val="46DA5204"/>
    <w:multiLevelType w:val="hybridMultilevel"/>
    <w:tmpl w:val="C3F8736A"/>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2" w15:restartNumberingAfterBreak="0">
    <w:nsid w:val="47776DDE"/>
    <w:multiLevelType w:val="hybridMultilevel"/>
    <w:tmpl w:val="744E46C0"/>
    <w:lvl w:ilvl="0" w:tplc="040C000F">
      <w:start w:val="7"/>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9685797"/>
    <w:multiLevelType w:val="hybridMultilevel"/>
    <w:tmpl w:val="FCB427C8"/>
    <w:lvl w:ilvl="0" w:tplc="04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4F4E2F0D"/>
    <w:multiLevelType w:val="singleLevel"/>
    <w:tmpl w:val="040C0013"/>
    <w:lvl w:ilvl="0">
      <w:start w:val="1"/>
      <w:numFmt w:val="upperRoman"/>
      <w:lvlText w:val="%1."/>
      <w:lvlJc w:val="left"/>
      <w:pPr>
        <w:tabs>
          <w:tab w:val="num" w:pos="720"/>
        </w:tabs>
        <w:ind w:left="720" w:hanging="720"/>
      </w:pPr>
      <w:rPr>
        <w:rFonts w:cs="Times New Roman" w:hint="default"/>
      </w:rPr>
    </w:lvl>
  </w:abstractNum>
  <w:abstractNum w:abstractNumId="25" w15:restartNumberingAfterBreak="0">
    <w:nsid w:val="57D43AE1"/>
    <w:multiLevelType w:val="hybridMultilevel"/>
    <w:tmpl w:val="3712023C"/>
    <w:lvl w:ilvl="0" w:tplc="262A7D58">
      <w:start w:val="1"/>
      <w:numFmt w:val="upperLetter"/>
      <w:lvlText w:val="%1."/>
      <w:lvlJc w:val="left"/>
      <w:pPr>
        <w:ind w:left="720"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9212060"/>
    <w:multiLevelType w:val="hybridMultilevel"/>
    <w:tmpl w:val="C86A45DE"/>
    <w:lvl w:ilvl="0" w:tplc="44FE58FA">
      <w:start w:val="5"/>
      <w:numFmt w:val="decimal"/>
      <w:lvlText w:val="%1."/>
      <w:lvlJc w:val="left"/>
      <w:pPr>
        <w:ind w:left="720" w:hanging="360"/>
      </w:pPr>
      <w:rPr>
        <w:rFonts w:cs="Times New Roman" w:hint="default"/>
        <w:color w:val="000000"/>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7" w15:restartNumberingAfterBreak="0">
    <w:nsid w:val="5B4A5C8A"/>
    <w:multiLevelType w:val="hybridMultilevel"/>
    <w:tmpl w:val="A5F42718"/>
    <w:lvl w:ilvl="0" w:tplc="080C000F">
      <w:start w:val="1"/>
      <w:numFmt w:val="decimal"/>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8" w15:restartNumberingAfterBreak="0">
    <w:nsid w:val="5CBB45E9"/>
    <w:multiLevelType w:val="hybridMultilevel"/>
    <w:tmpl w:val="84CE3E84"/>
    <w:lvl w:ilvl="0" w:tplc="BE266ECA">
      <w:start w:val="1"/>
      <w:numFmt w:val="decimal"/>
      <w:lvlText w:val="%1."/>
      <w:lvlJc w:val="left"/>
      <w:pPr>
        <w:ind w:left="900" w:hanging="360"/>
      </w:pPr>
      <w:rPr>
        <w:rFonts w:ascii="Times New Roman" w:hAnsi="Times New Roman" w:cs="Times New Roman" w:hint="default"/>
        <w:b/>
      </w:rPr>
    </w:lvl>
    <w:lvl w:ilvl="1" w:tplc="080C0019" w:tentative="1">
      <w:start w:val="1"/>
      <w:numFmt w:val="lowerLetter"/>
      <w:lvlText w:val="%2."/>
      <w:lvlJc w:val="left"/>
      <w:pPr>
        <w:ind w:left="1620" w:hanging="360"/>
      </w:pPr>
      <w:rPr>
        <w:rFonts w:cs="Times New Roman"/>
      </w:rPr>
    </w:lvl>
    <w:lvl w:ilvl="2" w:tplc="080C001B" w:tentative="1">
      <w:start w:val="1"/>
      <w:numFmt w:val="lowerRoman"/>
      <w:lvlText w:val="%3."/>
      <w:lvlJc w:val="right"/>
      <w:pPr>
        <w:ind w:left="2340" w:hanging="180"/>
      </w:pPr>
      <w:rPr>
        <w:rFonts w:cs="Times New Roman"/>
      </w:rPr>
    </w:lvl>
    <w:lvl w:ilvl="3" w:tplc="080C000F" w:tentative="1">
      <w:start w:val="1"/>
      <w:numFmt w:val="decimal"/>
      <w:lvlText w:val="%4."/>
      <w:lvlJc w:val="left"/>
      <w:pPr>
        <w:ind w:left="3060" w:hanging="360"/>
      </w:pPr>
      <w:rPr>
        <w:rFonts w:cs="Times New Roman"/>
      </w:rPr>
    </w:lvl>
    <w:lvl w:ilvl="4" w:tplc="080C0019" w:tentative="1">
      <w:start w:val="1"/>
      <w:numFmt w:val="lowerLetter"/>
      <w:lvlText w:val="%5."/>
      <w:lvlJc w:val="left"/>
      <w:pPr>
        <w:ind w:left="3780" w:hanging="360"/>
      </w:pPr>
      <w:rPr>
        <w:rFonts w:cs="Times New Roman"/>
      </w:rPr>
    </w:lvl>
    <w:lvl w:ilvl="5" w:tplc="080C001B" w:tentative="1">
      <w:start w:val="1"/>
      <w:numFmt w:val="lowerRoman"/>
      <w:lvlText w:val="%6."/>
      <w:lvlJc w:val="right"/>
      <w:pPr>
        <w:ind w:left="4500" w:hanging="180"/>
      </w:pPr>
      <w:rPr>
        <w:rFonts w:cs="Times New Roman"/>
      </w:rPr>
    </w:lvl>
    <w:lvl w:ilvl="6" w:tplc="080C000F" w:tentative="1">
      <w:start w:val="1"/>
      <w:numFmt w:val="decimal"/>
      <w:lvlText w:val="%7."/>
      <w:lvlJc w:val="left"/>
      <w:pPr>
        <w:ind w:left="5220" w:hanging="360"/>
      </w:pPr>
      <w:rPr>
        <w:rFonts w:cs="Times New Roman"/>
      </w:rPr>
    </w:lvl>
    <w:lvl w:ilvl="7" w:tplc="080C0019" w:tentative="1">
      <w:start w:val="1"/>
      <w:numFmt w:val="lowerLetter"/>
      <w:lvlText w:val="%8."/>
      <w:lvlJc w:val="left"/>
      <w:pPr>
        <w:ind w:left="5940" w:hanging="360"/>
      </w:pPr>
      <w:rPr>
        <w:rFonts w:cs="Times New Roman"/>
      </w:rPr>
    </w:lvl>
    <w:lvl w:ilvl="8" w:tplc="080C001B" w:tentative="1">
      <w:start w:val="1"/>
      <w:numFmt w:val="lowerRoman"/>
      <w:lvlText w:val="%9."/>
      <w:lvlJc w:val="right"/>
      <w:pPr>
        <w:ind w:left="6660" w:hanging="180"/>
      </w:pPr>
      <w:rPr>
        <w:rFonts w:cs="Times New Roman"/>
      </w:rPr>
    </w:lvl>
  </w:abstractNum>
  <w:abstractNum w:abstractNumId="29" w15:restartNumberingAfterBreak="0">
    <w:nsid w:val="5D886B45"/>
    <w:multiLevelType w:val="hybridMultilevel"/>
    <w:tmpl w:val="3712023C"/>
    <w:lvl w:ilvl="0" w:tplc="262A7D58">
      <w:start w:val="1"/>
      <w:numFmt w:val="upperLetter"/>
      <w:lvlText w:val="%1."/>
      <w:lvlJc w:val="left"/>
      <w:pPr>
        <w:ind w:left="785"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0EC139D"/>
    <w:multiLevelType w:val="hybridMultilevel"/>
    <w:tmpl w:val="ADA03DFA"/>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643"/>
        </w:tabs>
        <w:ind w:left="643" w:hanging="360"/>
      </w:pPr>
      <w:rPr>
        <w:rFonts w:ascii="Wingdings" w:hAnsi="Wingdings" w:hint="default"/>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AA6098"/>
    <w:multiLevelType w:val="multilevel"/>
    <w:tmpl w:val="F50A483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5B94722"/>
    <w:multiLevelType w:val="hybridMultilevel"/>
    <w:tmpl w:val="6804D3D4"/>
    <w:lvl w:ilvl="0" w:tplc="040C000F">
      <w:start w:val="1"/>
      <w:numFmt w:val="decimal"/>
      <w:lvlText w:val="%1."/>
      <w:lvlJc w:val="left"/>
      <w:pPr>
        <w:tabs>
          <w:tab w:val="num" w:pos="1004"/>
        </w:tabs>
        <w:ind w:left="1004" w:hanging="360"/>
      </w:pPr>
      <w:rPr>
        <w:rFonts w:cs="Times New Roman"/>
      </w:rPr>
    </w:lvl>
    <w:lvl w:ilvl="1" w:tplc="040C0001">
      <w:start w:val="1"/>
      <w:numFmt w:val="bullet"/>
      <w:lvlText w:val=""/>
      <w:lvlJc w:val="left"/>
      <w:pPr>
        <w:tabs>
          <w:tab w:val="num" w:pos="1724"/>
        </w:tabs>
        <w:ind w:left="1724" w:hanging="360"/>
      </w:pPr>
      <w:rPr>
        <w:rFonts w:ascii="Symbol" w:hAnsi="Symbol"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3" w15:restartNumberingAfterBreak="0">
    <w:nsid w:val="692B5EA3"/>
    <w:multiLevelType w:val="hybridMultilevel"/>
    <w:tmpl w:val="B4E89AC0"/>
    <w:lvl w:ilvl="0" w:tplc="080C0015">
      <w:start w:val="1"/>
      <w:numFmt w:val="upp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4" w15:restartNumberingAfterBreak="0">
    <w:nsid w:val="69983F4A"/>
    <w:multiLevelType w:val="hybridMultilevel"/>
    <w:tmpl w:val="F54ABDE0"/>
    <w:lvl w:ilvl="0" w:tplc="040C000F">
      <w:start w:val="1"/>
      <w:numFmt w:val="decimal"/>
      <w:lvlText w:val="%1."/>
      <w:lvlJc w:val="left"/>
      <w:pPr>
        <w:tabs>
          <w:tab w:val="num" w:pos="1004"/>
        </w:tabs>
        <w:ind w:left="1004" w:hanging="360"/>
      </w:pPr>
      <w:rPr>
        <w:rFonts w:cs="Times New Roman"/>
      </w:rPr>
    </w:lvl>
    <w:lvl w:ilvl="1" w:tplc="040C0005">
      <w:start w:val="1"/>
      <w:numFmt w:val="bullet"/>
      <w:lvlText w:val=""/>
      <w:lvlJc w:val="left"/>
      <w:pPr>
        <w:tabs>
          <w:tab w:val="num" w:pos="1724"/>
        </w:tabs>
        <w:ind w:left="1724" w:hanging="360"/>
      </w:pPr>
      <w:rPr>
        <w:rFonts w:ascii="Wingdings" w:hAnsi="Wingdings"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5" w15:restartNumberingAfterBreak="0">
    <w:nsid w:val="6ADC3847"/>
    <w:multiLevelType w:val="hybridMultilevel"/>
    <w:tmpl w:val="94F2989A"/>
    <w:lvl w:ilvl="0" w:tplc="91FA9A1E">
      <w:start w:val="3"/>
      <w:numFmt w:val="upperLetter"/>
      <w:lvlText w:val="%1."/>
      <w:lvlJc w:val="left"/>
      <w:pPr>
        <w:ind w:left="720" w:hanging="360"/>
      </w:pPr>
      <w:rPr>
        <w:rFonts w:cs="Times New Roman" w:hint="default"/>
        <w:b/>
      </w:rPr>
    </w:lvl>
    <w:lvl w:ilvl="1" w:tplc="040C0001">
      <w:start w:val="1"/>
      <w:numFmt w:val="bullet"/>
      <w:lvlText w:val=""/>
      <w:lvlJc w:val="left"/>
      <w:pPr>
        <w:tabs>
          <w:tab w:val="num" w:pos="1440"/>
        </w:tabs>
        <w:ind w:left="1440" w:hanging="360"/>
      </w:pPr>
      <w:rPr>
        <w:rFonts w:ascii="Symbol" w:hAnsi="Symbol" w:hint="default"/>
        <w:b/>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36" w15:restartNumberingAfterBreak="0">
    <w:nsid w:val="6B4A484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B7F4312"/>
    <w:multiLevelType w:val="hybridMultilevel"/>
    <w:tmpl w:val="78920CC4"/>
    <w:lvl w:ilvl="0" w:tplc="1A383B98">
      <w:start w:val="1"/>
      <w:numFmt w:val="upperLetter"/>
      <w:lvlText w:val="%1."/>
      <w:lvlJc w:val="left"/>
      <w:pPr>
        <w:ind w:left="780" w:hanging="360"/>
      </w:pPr>
      <w:rPr>
        <w:rFonts w:cs="Times New Roman" w:hint="default"/>
        <w:b/>
      </w:rPr>
    </w:lvl>
    <w:lvl w:ilvl="1" w:tplc="080C0019" w:tentative="1">
      <w:start w:val="1"/>
      <w:numFmt w:val="lowerLetter"/>
      <w:lvlText w:val="%2."/>
      <w:lvlJc w:val="left"/>
      <w:pPr>
        <w:ind w:left="1500" w:hanging="360"/>
      </w:pPr>
      <w:rPr>
        <w:rFonts w:cs="Times New Roman"/>
      </w:rPr>
    </w:lvl>
    <w:lvl w:ilvl="2" w:tplc="080C001B" w:tentative="1">
      <w:start w:val="1"/>
      <w:numFmt w:val="lowerRoman"/>
      <w:lvlText w:val="%3."/>
      <w:lvlJc w:val="right"/>
      <w:pPr>
        <w:ind w:left="2220" w:hanging="180"/>
      </w:pPr>
      <w:rPr>
        <w:rFonts w:cs="Times New Roman"/>
      </w:rPr>
    </w:lvl>
    <w:lvl w:ilvl="3" w:tplc="080C000F" w:tentative="1">
      <w:start w:val="1"/>
      <w:numFmt w:val="decimal"/>
      <w:lvlText w:val="%4."/>
      <w:lvlJc w:val="left"/>
      <w:pPr>
        <w:ind w:left="2940" w:hanging="360"/>
      </w:pPr>
      <w:rPr>
        <w:rFonts w:cs="Times New Roman"/>
      </w:rPr>
    </w:lvl>
    <w:lvl w:ilvl="4" w:tplc="080C0019" w:tentative="1">
      <w:start w:val="1"/>
      <w:numFmt w:val="lowerLetter"/>
      <w:lvlText w:val="%5."/>
      <w:lvlJc w:val="left"/>
      <w:pPr>
        <w:ind w:left="3660" w:hanging="360"/>
      </w:pPr>
      <w:rPr>
        <w:rFonts w:cs="Times New Roman"/>
      </w:rPr>
    </w:lvl>
    <w:lvl w:ilvl="5" w:tplc="080C001B" w:tentative="1">
      <w:start w:val="1"/>
      <w:numFmt w:val="lowerRoman"/>
      <w:lvlText w:val="%6."/>
      <w:lvlJc w:val="right"/>
      <w:pPr>
        <w:ind w:left="4380" w:hanging="180"/>
      </w:pPr>
      <w:rPr>
        <w:rFonts w:cs="Times New Roman"/>
      </w:rPr>
    </w:lvl>
    <w:lvl w:ilvl="6" w:tplc="080C000F" w:tentative="1">
      <w:start w:val="1"/>
      <w:numFmt w:val="decimal"/>
      <w:lvlText w:val="%7."/>
      <w:lvlJc w:val="left"/>
      <w:pPr>
        <w:ind w:left="5100" w:hanging="360"/>
      </w:pPr>
      <w:rPr>
        <w:rFonts w:cs="Times New Roman"/>
      </w:rPr>
    </w:lvl>
    <w:lvl w:ilvl="7" w:tplc="080C0019" w:tentative="1">
      <w:start w:val="1"/>
      <w:numFmt w:val="lowerLetter"/>
      <w:lvlText w:val="%8."/>
      <w:lvlJc w:val="left"/>
      <w:pPr>
        <w:ind w:left="5820" w:hanging="360"/>
      </w:pPr>
      <w:rPr>
        <w:rFonts w:cs="Times New Roman"/>
      </w:rPr>
    </w:lvl>
    <w:lvl w:ilvl="8" w:tplc="080C001B" w:tentative="1">
      <w:start w:val="1"/>
      <w:numFmt w:val="lowerRoman"/>
      <w:lvlText w:val="%9."/>
      <w:lvlJc w:val="right"/>
      <w:pPr>
        <w:ind w:left="6540" w:hanging="180"/>
      </w:pPr>
      <w:rPr>
        <w:rFonts w:cs="Times New Roman"/>
      </w:rPr>
    </w:lvl>
  </w:abstractNum>
  <w:abstractNum w:abstractNumId="38" w15:restartNumberingAfterBreak="0">
    <w:nsid w:val="756322E4"/>
    <w:multiLevelType w:val="multilevel"/>
    <w:tmpl w:val="6B86616A"/>
    <w:lvl w:ilvl="0">
      <w:start w:val="2"/>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875"/>
        </w:tabs>
        <w:ind w:left="875" w:hanging="450"/>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39" w15:restartNumberingAfterBreak="0">
    <w:nsid w:val="7AB53575"/>
    <w:multiLevelType w:val="hybridMultilevel"/>
    <w:tmpl w:val="F84C3778"/>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40" w15:restartNumberingAfterBreak="0">
    <w:nsid w:val="7B25189C"/>
    <w:multiLevelType w:val="multilevel"/>
    <w:tmpl w:val="89A0620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0"/>
    <w:lvlOverride w:ilvl="0">
      <w:lvl w:ilvl="0">
        <w:start w:val="1"/>
        <w:numFmt w:val="bullet"/>
        <w:lvlText w:val=""/>
        <w:lvlJc w:val="left"/>
        <w:pPr>
          <w:ind w:left="4472" w:hanging="360"/>
        </w:pPr>
        <w:rPr>
          <w:rFonts w:ascii="Symbol" w:hAnsi="Symbol" w:hint="default"/>
        </w:rPr>
      </w:lvl>
    </w:lvlOverride>
  </w:num>
  <w:num w:numId="2">
    <w:abstractNumId w:val="3"/>
  </w:num>
  <w:num w:numId="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3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9">
    <w:abstractNumId w:val="38"/>
  </w:num>
  <w:num w:numId="10">
    <w:abstractNumId w:val="17"/>
  </w:num>
  <w:num w:numId="11">
    <w:abstractNumId w:val="11"/>
  </w:num>
  <w:num w:numId="12">
    <w:abstractNumId w:val="18"/>
  </w:num>
  <w:num w:numId="13">
    <w:abstractNumId w:val="5"/>
  </w:num>
  <w:num w:numId="14">
    <w:abstractNumId w:val="36"/>
  </w:num>
  <w:num w:numId="15">
    <w:abstractNumId w:val="24"/>
  </w:num>
  <w:num w:numId="16">
    <w:abstractNumId w:val="40"/>
  </w:num>
  <w:num w:numId="17">
    <w:abstractNumId w:val="31"/>
  </w:num>
  <w:num w:numId="18">
    <w:abstractNumId w:val="1"/>
  </w:num>
  <w:num w:numId="19">
    <w:abstractNumId w:val="0"/>
    <w:lvlOverride w:ilvl="0">
      <w:lvl w:ilvl="0">
        <w:start w:val="1"/>
        <w:numFmt w:val="bullet"/>
        <w:lvlText w:val=""/>
        <w:lvlJc w:val="left"/>
        <w:pPr>
          <w:ind w:left="786" w:hanging="360"/>
        </w:pPr>
        <w:rPr>
          <w:rFonts w:ascii="Symbol" w:hAnsi="Symbol" w:hint="default"/>
        </w:rPr>
      </w:lvl>
    </w:lvlOverride>
  </w:num>
  <w:num w:numId="20">
    <w:abstractNumId w:val="30"/>
  </w:num>
  <w:num w:numId="21">
    <w:abstractNumId w:val="8"/>
  </w:num>
  <w:num w:numId="22">
    <w:abstractNumId w:val="9"/>
  </w:num>
  <w:num w:numId="23">
    <w:abstractNumId w:val="13"/>
  </w:num>
  <w:num w:numId="24">
    <w:abstractNumId w:val="19"/>
  </w:num>
  <w:num w:numId="25">
    <w:abstractNumId w:val="4"/>
  </w:num>
  <w:num w:numId="26">
    <w:abstractNumId w:val="23"/>
  </w:num>
  <w:num w:numId="27">
    <w:abstractNumId w:val="20"/>
  </w:num>
  <w:num w:numId="28">
    <w:abstractNumId w:val="28"/>
  </w:num>
  <w:num w:numId="29">
    <w:abstractNumId w:val="21"/>
  </w:num>
  <w:num w:numId="30">
    <w:abstractNumId w:val="2"/>
  </w:num>
  <w:num w:numId="31">
    <w:abstractNumId w:val="15"/>
  </w:num>
  <w:num w:numId="32">
    <w:abstractNumId w:val="14"/>
  </w:num>
  <w:num w:numId="33">
    <w:abstractNumId w:val="10"/>
  </w:num>
  <w:num w:numId="34">
    <w:abstractNumId w:val="35"/>
  </w:num>
  <w:num w:numId="35">
    <w:abstractNumId w:val="37"/>
  </w:num>
  <w:num w:numId="36">
    <w:abstractNumId w:val="26"/>
  </w:num>
  <w:num w:numId="37">
    <w:abstractNumId w:val="27"/>
  </w:num>
  <w:num w:numId="38">
    <w:abstractNumId w:val="12"/>
  </w:num>
  <w:num w:numId="39">
    <w:abstractNumId w:val="6"/>
  </w:num>
  <w:num w:numId="40">
    <w:abstractNumId w:val="0"/>
    <w:lvlOverride w:ilvl="0">
      <w:lvl w:ilvl="0">
        <w:start w:val="1"/>
        <w:numFmt w:val="bullet"/>
        <w:lvlText w:val=""/>
        <w:lvlJc w:val="left"/>
        <w:pPr>
          <w:ind w:left="1260" w:hanging="360"/>
        </w:pPr>
        <w:rPr>
          <w:rFonts w:ascii="Symbol" w:hAnsi="Symbol" w:hint="default"/>
        </w:rPr>
      </w:lvl>
    </w:lvlOverride>
  </w:num>
  <w:num w:numId="41">
    <w:abstractNumId w:val="34"/>
  </w:num>
  <w:num w:numId="42">
    <w:abstractNumId w:val="16"/>
  </w:num>
  <w:num w:numId="43">
    <w:abstractNumId w:val="7"/>
  </w:num>
  <w:num w:numId="44">
    <w:abstractNumId w:val="25"/>
  </w:num>
  <w:num w:numId="45">
    <w:abstractNumId w:val="29"/>
  </w:num>
  <w:num w:numId="46">
    <w:abstractNumId w:val="3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5E73295C-4DCD-4969-B289-BF5AA0CB2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lang w:val="fr-FR" w:eastAsia="fr-FR"/>
    </w:rPr>
  </w:style>
  <w:style w:type="paragraph" w:styleId="Titre1">
    <w:name w:val="heading 1"/>
    <w:basedOn w:val="Normal"/>
    <w:next w:val="Normal"/>
    <w:link w:val="Titre1Car1"/>
    <w:uiPriority w:val="99"/>
    <w:qFormat/>
    <w:pPr>
      <w:keepNext/>
      <w:jc w:val="center"/>
      <w:outlineLvl w:val="0"/>
    </w:pPr>
    <w:rPr>
      <w:rFonts w:ascii="Arial" w:hAnsi="Arial" w:cs="Arial"/>
      <w:b/>
      <w:bCs/>
    </w:rPr>
  </w:style>
  <w:style w:type="paragraph" w:styleId="Titre2">
    <w:name w:val="heading 2"/>
    <w:basedOn w:val="Normal"/>
    <w:next w:val="Normal"/>
    <w:link w:val="Titre2Car1"/>
    <w:uiPriority w:val="99"/>
    <w:qFormat/>
    <w:pPr>
      <w:keepNext/>
      <w:outlineLvl w:val="1"/>
    </w:pPr>
    <w:rPr>
      <w:rFonts w:ascii="Tahoma" w:hAnsi="Tahoma" w:cs="Tahoma"/>
      <w:b/>
      <w:bCs/>
      <w:sz w:val="22"/>
      <w:szCs w:val="22"/>
    </w:rPr>
  </w:style>
  <w:style w:type="paragraph" w:styleId="Titre4">
    <w:name w:val="heading 4"/>
    <w:basedOn w:val="Normal"/>
    <w:next w:val="Normal"/>
    <w:link w:val="Titre4Car1"/>
    <w:uiPriority w:val="99"/>
    <w:qFormat/>
    <w:pPr>
      <w:keepNext/>
      <w:spacing w:before="240" w:after="60"/>
      <w:outlineLvl w:val="3"/>
    </w:pPr>
    <w:rPr>
      <w:b/>
      <w:bCs/>
      <w:sz w:val="28"/>
      <w:szCs w:val="28"/>
    </w:rPr>
  </w:style>
  <w:style w:type="paragraph" w:styleId="Titre7">
    <w:name w:val="heading 7"/>
    <w:basedOn w:val="Normal"/>
    <w:next w:val="Normal"/>
    <w:link w:val="Titre7Car1"/>
    <w:uiPriority w:val="99"/>
    <w:qFormat/>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link w:val="Titre1"/>
    <w:uiPriority w:val="99"/>
    <w:locked/>
    <w:rPr>
      <w:rFonts w:ascii="Cambria" w:hAnsi="Cambria" w:cs="Times New Roman"/>
      <w:b/>
      <w:bCs/>
      <w:kern w:val="32"/>
      <w:sz w:val="32"/>
      <w:szCs w:val="32"/>
      <w:lang w:val="fr-FR" w:eastAsia="fr-FR"/>
    </w:rPr>
  </w:style>
  <w:style w:type="character" w:customStyle="1" w:styleId="Titre2Car1">
    <w:name w:val="Titre 2 Car1"/>
    <w:link w:val="Titre2"/>
    <w:uiPriority w:val="99"/>
    <w:semiHidden/>
    <w:locked/>
    <w:rPr>
      <w:rFonts w:ascii="Cambria" w:hAnsi="Cambria" w:cs="Times New Roman"/>
      <w:b/>
      <w:bCs/>
      <w:i/>
      <w:iCs/>
      <w:sz w:val="28"/>
      <w:szCs w:val="28"/>
      <w:lang w:val="fr-FR" w:eastAsia="fr-FR"/>
    </w:rPr>
  </w:style>
  <w:style w:type="character" w:customStyle="1" w:styleId="Titre4Car1">
    <w:name w:val="Titre 4 Car1"/>
    <w:link w:val="Titre4"/>
    <w:uiPriority w:val="99"/>
    <w:semiHidden/>
    <w:locked/>
    <w:rPr>
      <w:rFonts w:ascii="Calibri" w:hAnsi="Calibri" w:cs="Times New Roman"/>
      <w:b/>
      <w:bCs/>
      <w:sz w:val="28"/>
      <w:szCs w:val="28"/>
      <w:lang w:val="fr-FR" w:eastAsia="fr-FR"/>
    </w:rPr>
  </w:style>
  <w:style w:type="character" w:customStyle="1" w:styleId="Titre7Car1">
    <w:name w:val="Titre 7 Car1"/>
    <w:link w:val="Titre7"/>
    <w:uiPriority w:val="99"/>
    <w:semiHidden/>
    <w:locked/>
    <w:rPr>
      <w:rFonts w:ascii="Calibri" w:hAnsi="Calibri" w:cs="Times New Roman"/>
      <w:sz w:val="24"/>
      <w:szCs w:val="24"/>
      <w:lang w:val="fr-FR" w:eastAsia="fr-FR"/>
    </w:rPr>
  </w:style>
  <w:style w:type="character" w:customStyle="1" w:styleId="Titre1Car">
    <w:name w:val="Titre 1 Car"/>
    <w:uiPriority w:val="99"/>
    <w:rPr>
      <w:rFonts w:ascii="Arial" w:hAnsi="Arial" w:cs="Arial"/>
      <w:b/>
      <w:bCs/>
      <w:sz w:val="24"/>
      <w:szCs w:val="24"/>
      <w:lang w:val="fr-FR" w:eastAsia="fr-FR"/>
    </w:rPr>
  </w:style>
  <w:style w:type="character" w:customStyle="1" w:styleId="Titre2Car">
    <w:name w:val="Titre 2 Car"/>
    <w:uiPriority w:val="99"/>
    <w:rPr>
      <w:rFonts w:ascii="Tahoma" w:hAnsi="Tahoma" w:cs="Tahoma"/>
      <w:b/>
      <w:bCs/>
      <w:sz w:val="22"/>
      <w:szCs w:val="22"/>
      <w:lang w:val="fr-FR" w:eastAsia="fr-FR"/>
    </w:rPr>
  </w:style>
  <w:style w:type="character" w:customStyle="1" w:styleId="Titre4Car">
    <w:name w:val="Titre 4 Car"/>
    <w:uiPriority w:val="99"/>
    <w:rPr>
      <w:rFonts w:cs="Times New Roman"/>
      <w:b/>
      <w:bCs/>
      <w:sz w:val="28"/>
      <w:szCs w:val="28"/>
      <w:lang w:val="en-GB" w:eastAsia="en-US"/>
    </w:rPr>
  </w:style>
  <w:style w:type="character" w:customStyle="1" w:styleId="Titre7Car">
    <w:name w:val="Titre 7 Car"/>
    <w:uiPriority w:val="99"/>
    <w:rPr>
      <w:rFonts w:cs="Times New Roman"/>
      <w:sz w:val="24"/>
      <w:szCs w:val="24"/>
      <w:lang w:val="en-GB" w:eastAsia="en-US"/>
    </w:rPr>
  </w:style>
  <w:style w:type="paragraph" w:styleId="Lgende">
    <w:name w:val="caption"/>
    <w:basedOn w:val="Normal"/>
    <w:next w:val="Normal"/>
    <w:uiPriority w:val="99"/>
    <w:qFormat/>
    <w:pPr>
      <w:jc w:val="center"/>
    </w:pPr>
    <w:rPr>
      <w:rFonts w:ascii="Verdana" w:hAnsi="Verdana"/>
      <w:b/>
      <w:bCs/>
    </w:rPr>
  </w:style>
  <w:style w:type="paragraph" w:customStyle="1" w:styleId="Texte">
    <w:name w:val="Texte"/>
    <w:basedOn w:val="Normal"/>
    <w:rPr>
      <w:rFonts w:ascii="MS Serif" w:hAnsi="MS Serif"/>
      <w:noProof/>
    </w:rPr>
  </w:style>
  <w:style w:type="paragraph" w:styleId="Pieddepage">
    <w:name w:val="footer"/>
    <w:basedOn w:val="Normal"/>
    <w:link w:val="PieddepageCar1"/>
    <w:uiPriority w:val="99"/>
    <w:pPr>
      <w:tabs>
        <w:tab w:val="center" w:pos="4536"/>
        <w:tab w:val="right" w:pos="9072"/>
      </w:tabs>
    </w:pPr>
  </w:style>
  <w:style w:type="character" w:customStyle="1" w:styleId="PieddepageCar1">
    <w:name w:val="Pied de page Car1"/>
    <w:link w:val="Pieddepage"/>
    <w:uiPriority w:val="99"/>
    <w:semiHidden/>
    <w:locked/>
    <w:rPr>
      <w:rFonts w:cs="Times New Roman"/>
      <w:sz w:val="20"/>
      <w:szCs w:val="20"/>
      <w:lang w:val="fr-FR" w:eastAsia="fr-FR"/>
    </w:rPr>
  </w:style>
  <w:style w:type="character" w:customStyle="1" w:styleId="PieddepageCar">
    <w:name w:val="Pied de page Car"/>
    <w:uiPriority w:val="99"/>
    <w:rPr>
      <w:rFonts w:cs="Times New Roman"/>
      <w:lang w:val="fr-FR" w:eastAsia="fr-FR"/>
    </w:rPr>
  </w:style>
  <w:style w:type="character" w:styleId="Numrodepage">
    <w:name w:val="page number"/>
    <w:uiPriority w:val="99"/>
    <w:rPr>
      <w:rFonts w:cs="Times New Roman"/>
    </w:rPr>
  </w:style>
  <w:style w:type="character" w:styleId="Appelnotedebasdep">
    <w:name w:val="footnote reference"/>
    <w:uiPriority w:val="99"/>
    <w:semiHidden/>
    <w:rPr>
      <w:rFonts w:cs="Times New Roman"/>
      <w:vertAlign w:val="superscript"/>
    </w:rPr>
  </w:style>
  <w:style w:type="paragraph" w:styleId="Notedebasdepage">
    <w:name w:val="footnote text"/>
    <w:basedOn w:val="Normal"/>
    <w:link w:val="NotedebasdepageCar1"/>
    <w:uiPriority w:val="99"/>
    <w:semiHidden/>
  </w:style>
  <w:style w:type="character" w:customStyle="1" w:styleId="NotedebasdepageCar1">
    <w:name w:val="Note de bas de page Car1"/>
    <w:link w:val="Notedebasdepage"/>
    <w:uiPriority w:val="99"/>
    <w:semiHidden/>
    <w:locked/>
    <w:rPr>
      <w:rFonts w:cs="Times New Roman"/>
      <w:lang w:val="fr-FR" w:eastAsia="fr-FR" w:bidi="ar-SA"/>
    </w:rPr>
  </w:style>
  <w:style w:type="character" w:customStyle="1" w:styleId="NotedebasdepageCar">
    <w:name w:val="Note de bas de page Car"/>
    <w:uiPriority w:val="99"/>
    <w:semiHidden/>
    <w:rPr>
      <w:rFonts w:cs="Times New Roman"/>
      <w:lang w:val="fr-FR" w:eastAsia="fr-FR"/>
    </w:rPr>
  </w:style>
  <w:style w:type="paragraph" w:styleId="Liste2">
    <w:name w:val="List 2"/>
    <w:basedOn w:val="Normal"/>
    <w:next w:val="Normal"/>
    <w:uiPriority w:val="99"/>
    <w:pPr>
      <w:overflowPunct/>
      <w:autoSpaceDE/>
      <w:autoSpaceDN/>
      <w:adjustRightInd/>
      <w:ind w:left="568" w:hanging="284"/>
      <w:textAlignment w:val="auto"/>
    </w:pPr>
    <w:rPr>
      <w:sz w:val="22"/>
      <w:szCs w:val="22"/>
    </w:rPr>
  </w:style>
  <w:style w:type="paragraph" w:styleId="Paragraphedeliste">
    <w:name w:val="List Paragraph"/>
    <w:basedOn w:val="Normal"/>
    <w:uiPriority w:val="99"/>
    <w:qFormat/>
    <w:pPr>
      <w:ind w:left="708"/>
    </w:pPr>
    <w:rPr>
      <w:lang w:eastAsia="fr-BE"/>
    </w:rPr>
  </w:style>
  <w:style w:type="paragraph" w:styleId="En-tte">
    <w:name w:val="header"/>
    <w:basedOn w:val="Normal"/>
    <w:link w:val="En-tteCar1"/>
    <w:uiPriority w:val="99"/>
    <w:pPr>
      <w:tabs>
        <w:tab w:val="center" w:pos="4536"/>
        <w:tab w:val="right" w:pos="9072"/>
      </w:tabs>
    </w:pPr>
  </w:style>
  <w:style w:type="character" w:customStyle="1" w:styleId="En-tteCar1">
    <w:name w:val="En-tête Car1"/>
    <w:link w:val="En-tte"/>
    <w:uiPriority w:val="99"/>
    <w:semiHidden/>
    <w:locked/>
    <w:rPr>
      <w:rFonts w:cs="Times New Roman"/>
      <w:sz w:val="20"/>
      <w:szCs w:val="20"/>
      <w:lang w:val="fr-FR" w:eastAsia="fr-FR"/>
    </w:rPr>
  </w:style>
  <w:style w:type="character" w:customStyle="1" w:styleId="En-tteCar">
    <w:name w:val="En-tête Car"/>
    <w:uiPriority w:val="99"/>
    <w:semiHidden/>
    <w:rPr>
      <w:rFonts w:cs="Times New Roman"/>
      <w:lang w:val="fr-FR" w:eastAsia="fr-FR"/>
    </w:rPr>
  </w:style>
  <w:style w:type="paragraph" w:styleId="Notedefin">
    <w:name w:val="endnote text"/>
    <w:basedOn w:val="Normal"/>
    <w:link w:val="NotedefinCar1"/>
    <w:uiPriority w:val="99"/>
    <w:semiHidden/>
  </w:style>
  <w:style w:type="character" w:customStyle="1" w:styleId="NotedefinCar1">
    <w:name w:val="Note de fin Car1"/>
    <w:link w:val="Notedefin"/>
    <w:uiPriority w:val="99"/>
    <w:semiHidden/>
    <w:locked/>
    <w:rPr>
      <w:rFonts w:cs="Times New Roman"/>
      <w:sz w:val="20"/>
      <w:szCs w:val="20"/>
      <w:lang w:val="fr-FR" w:eastAsia="fr-FR"/>
    </w:rPr>
  </w:style>
  <w:style w:type="character" w:customStyle="1" w:styleId="NotedefinCar">
    <w:name w:val="Note de fin Car"/>
    <w:uiPriority w:val="99"/>
    <w:semiHidden/>
    <w:rPr>
      <w:rFonts w:cs="Times New Roman"/>
      <w:lang w:val="fr-FR" w:eastAsia="fr-FR"/>
    </w:rPr>
  </w:style>
  <w:style w:type="character" w:styleId="Appeldenotedefin">
    <w:name w:val="endnote reference"/>
    <w:uiPriority w:val="99"/>
    <w:semiHidden/>
    <w:rPr>
      <w:rFonts w:cs="Times New Roman"/>
      <w:vertAlign w:val="superscript"/>
    </w:rPr>
  </w:style>
  <w:style w:type="paragraph" w:styleId="Retraitcorpsdetexte">
    <w:name w:val="Body Text Indent"/>
    <w:basedOn w:val="Normal"/>
    <w:link w:val="RetraitcorpsdetexteCar"/>
    <w:uiPriority w:val="99"/>
    <w:pPr>
      <w:ind w:left="1135"/>
      <w:jc w:val="both"/>
    </w:pPr>
    <w:rPr>
      <w:color w:val="FF0000"/>
      <w:sz w:val="22"/>
    </w:rPr>
  </w:style>
  <w:style w:type="character" w:customStyle="1" w:styleId="RetraitcorpsdetexteCar">
    <w:name w:val="Retrait corps de texte Car"/>
    <w:link w:val="Retraitcorpsdetexte"/>
    <w:uiPriority w:val="99"/>
    <w:locked/>
    <w:rPr>
      <w:rFonts w:cs="Times New Roman"/>
      <w:color w:val="FF0000"/>
      <w:sz w:val="22"/>
      <w:lang w:val="fr-FR" w:eastAsia="fr-FR"/>
    </w:rPr>
  </w:style>
  <w:style w:type="table" w:styleId="Grilledutableau">
    <w:name w:val="Table Grid"/>
    <w:basedOn w:val="Tableau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pPr>
      <w:spacing w:after="120" w:line="480" w:lineRule="auto"/>
    </w:pPr>
  </w:style>
  <w:style w:type="character" w:customStyle="1" w:styleId="Corpsdetexte2Car">
    <w:name w:val="Corps de texte 2 Car"/>
    <w:link w:val="Corpsdetexte2"/>
    <w:uiPriority w:val="99"/>
    <w:semiHidden/>
    <w:locked/>
    <w:rPr>
      <w:rFonts w:cs="Times New Roman"/>
      <w:sz w:val="20"/>
      <w:szCs w:val="20"/>
      <w:lang w:val="fr-FR" w:eastAsia="fr-FR"/>
    </w:rPr>
  </w:style>
  <w:style w:type="paragraph" w:styleId="Retraitcorpsdetexte3">
    <w:name w:val="Body Text Indent 3"/>
    <w:basedOn w:val="Normal"/>
    <w:link w:val="Retraitcorpsdetexte3Car"/>
    <w:uiPriority w:val="99"/>
    <w:pPr>
      <w:spacing w:after="120"/>
      <w:ind w:left="283"/>
    </w:pPr>
    <w:rPr>
      <w:sz w:val="16"/>
      <w:szCs w:val="16"/>
    </w:rPr>
  </w:style>
  <w:style w:type="character" w:customStyle="1" w:styleId="Retraitcorpsdetexte3Car">
    <w:name w:val="Retrait corps de texte 3 Car"/>
    <w:link w:val="Retraitcorpsdetexte3"/>
    <w:uiPriority w:val="99"/>
    <w:semiHidden/>
    <w:locked/>
    <w:rPr>
      <w:rFonts w:cs="Times New Roman"/>
      <w:sz w:val="16"/>
      <w:szCs w:val="16"/>
      <w:lang w:val="fr-FR" w:eastAsia="fr-FR"/>
    </w:rPr>
  </w:style>
  <w:style w:type="character" w:customStyle="1" w:styleId="CarCar3">
    <w:name w:val="Car Car3"/>
    <w:uiPriority w:val="99"/>
    <w:rPr>
      <w:rFonts w:cs="Times New Roman"/>
      <w:color w:val="FF0000"/>
      <w:sz w:val="2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8473918">
      <w:bodyDiv w:val="1"/>
      <w:marLeft w:val="0"/>
      <w:marRight w:val="0"/>
      <w:marTop w:val="0"/>
      <w:marBottom w:val="0"/>
      <w:divBdr>
        <w:top w:val="none" w:sz="0" w:space="0" w:color="auto"/>
        <w:left w:val="none" w:sz="0" w:space="0" w:color="auto"/>
        <w:bottom w:val="none" w:sz="0" w:space="0" w:color="auto"/>
        <w:right w:val="none" w:sz="0" w:space="0" w:color="auto"/>
      </w:divBdr>
    </w:div>
    <w:div w:id="1845393580">
      <w:bodyDiv w:val="1"/>
      <w:marLeft w:val="0"/>
      <w:marRight w:val="0"/>
      <w:marTop w:val="0"/>
      <w:marBottom w:val="0"/>
      <w:divBdr>
        <w:top w:val="none" w:sz="0" w:space="0" w:color="auto"/>
        <w:left w:val="none" w:sz="0" w:space="0" w:color="auto"/>
        <w:bottom w:val="none" w:sz="0" w:space="0" w:color="auto"/>
        <w:right w:val="none" w:sz="0" w:space="0" w:color="auto"/>
      </w:divBdr>
    </w:div>
    <w:div w:id="185259893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B67411-BA96-4F3D-9727-20A4D1ED8C08}"/>
</file>

<file path=customXml/itemProps2.xml><?xml version="1.0" encoding="utf-8"?>
<ds:datastoreItem xmlns:ds="http://schemas.openxmlformats.org/officeDocument/2006/customXml" ds:itemID="{2DF5B40C-D059-4CA2-8775-74519E554247}"/>
</file>

<file path=docProps/app.xml><?xml version="1.0" encoding="utf-8"?>
<Properties xmlns="http://schemas.openxmlformats.org/officeDocument/2006/extended-properties" xmlns:vt="http://schemas.openxmlformats.org/officeDocument/2006/docPropsVTypes">
  <Template>Normal.dotm</Template>
  <TotalTime>3</TotalTime>
  <Pages>1</Pages>
  <Words>5590</Words>
  <Characters>30746</Characters>
  <Application>Microsoft Office Word</Application>
  <DocSecurity>0</DocSecurity>
  <Lines>256</Lines>
  <Paragraphs>72</Paragraphs>
  <ScaleCrop>false</ScaleCrop>
  <HeadingPairs>
    <vt:vector size="2" baseType="variant">
      <vt:variant>
        <vt:lpstr>Titre</vt:lpstr>
      </vt:variant>
      <vt:variant>
        <vt:i4>1</vt:i4>
      </vt:variant>
    </vt:vector>
  </HeadingPairs>
  <TitlesOfParts>
    <vt:vector size="1" baseType="lpstr">
      <vt:lpstr>COMMUNAUTE FRANCAISE</vt:lpstr>
    </vt:vector>
  </TitlesOfParts>
  <Company>ETNIC</Company>
  <LinksUpToDate>false</LinksUpToDate>
  <CharactersWithSpaces>36264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COMMUNAUTE FRANCAISE</dc:title>
  <dc:creator>Surekha</dc:creator>
  <cp:lastModifiedBy>goulet02</cp:lastModifiedBy>
  <cp:revision>7</cp:revision>
  <cp:lastPrinted>2011-02-18T13:38:00Z</cp:lastPrinted>
  <dcterms:created xsi:type="dcterms:W3CDTF">2016-06-29T07:03:00Z</dcterms:created>
  <dcterms:modified xsi:type="dcterms:W3CDTF">2017-02-07T10:37:00Z</dcterms:modified>
</cp:coreProperties>
</file>