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>
      <w:pPr>
        <w:jc w:val="center"/>
        <w:rPr>
          <w:sz w:val="28"/>
          <w:szCs w:val="28"/>
        </w:rPr>
      </w:pPr>
    </w:p>
    <w:p/>
    <w:p/>
    <w:p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UNITE D’ENSEIGNEMENT</w:t>
      </w:r>
    </w:p>
    <w:p>
      <w:pPr>
        <w:jc w:val="center"/>
        <w:rPr>
          <w:b/>
          <w:bCs/>
        </w:rPr>
      </w:pPr>
      <w:bookmarkStart w:id="0" w:name="Titre"/>
      <w:bookmarkEnd w:id="0"/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GESTION ET TECHNIQUES FINANCIERES </w:t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>APPLIQUEES AU COMMERCE INTERNATIONAL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suppressAutoHyphens w:val="0"/>
        <w:jc w:val="center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ENSEIGNEMENT </w:t>
      </w:r>
      <w:r>
        <w:rPr>
          <w:b/>
          <w:caps/>
          <w:sz w:val="22"/>
          <w:lang w:eastAsia="fr-FR"/>
        </w:rPr>
        <w:t>supérieur DE TYPE COURT</w:t>
      </w:r>
    </w:p>
    <w:p>
      <w:pPr>
        <w:suppressAutoHyphens w:val="0"/>
        <w:jc w:val="center"/>
        <w:rPr>
          <w:sz w:val="24"/>
          <w:szCs w:val="24"/>
          <w:lang w:eastAsia="fr-FR"/>
        </w:rPr>
      </w:pPr>
    </w:p>
    <w:p>
      <w:pPr>
        <w:suppressAutoHyphens w:val="0"/>
        <w:jc w:val="center"/>
        <w:rPr>
          <w:rFonts w:eastAsia="Calibri"/>
          <w:sz w:val="24"/>
          <w:szCs w:val="24"/>
          <w:lang w:val="fr-BE" w:eastAsia="fr-BE"/>
        </w:rPr>
      </w:pPr>
      <w:r>
        <w:rPr>
          <w:b/>
          <w:smallCaps/>
          <w:spacing w:val="5"/>
          <w:sz w:val="24"/>
          <w:szCs w:val="24"/>
          <w:lang w:eastAsia="fr-FR"/>
        </w:rPr>
        <w:t>Domaine : Sciences économiques et de gestion</w:t>
      </w:r>
    </w:p>
    <w:p>
      <w:pPr>
        <w:suppressAutoHyphens w:val="0"/>
        <w:jc w:val="center"/>
        <w:rPr>
          <w:b/>
          <w:smallCaps/>
          <w:spacing w:val="5"/>
          <w:sz w:val="24"/>
          <w:szCs w:val="24"/>
          <w:lang w:val="fr-BE" w:eastAsia="fr-FR"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 xml:space="preserve">CODE : </w:t>
            </w:r>
            <w:r>
              <w:rPr>
                <w:b/>
                <w:color w:val="000000" w:themeColor="text1"/>
                <w:sz w:val="22"/>
                <w:szCs w:val="22"/>
              </w:rPr>
              <w:t>717402U32D2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 : 702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  <w:bookmarkStart w:id="1" w:name="_GoBack"/>
      <w:bookmarkEnd w:id="1"/>
      <w:r>
        <w:rPr>
          <w:b/>
        </w:rPr>
        <w:t xml:space="preserve"> 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  <w:r>
        <w:rPr>
          <w:b/>
          <w:color w:val="00B0F0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pStyle w:val="Titre2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GESTION ET TECHNIQUES FINANCIERES </w:t>
            </w:r>
          </w:p>
          <w:p>
            <w:pPr>
              <w:pStyle w:val="Titre2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APPLIQUEES AU COMMERCE INTERNATIONAL</w:t>
            </w:r>
          </w:p>
          <w:p>
            <w:pPr>
              <w:jc w:val="center"/>
              <w:rPr>
                <w:b/>
                <w:caps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2" w:name="OLE_LINK1"/>
            <w:bookmarkStart w:id="3" w:name="OLE_LINK2"/>
            <w:r>
              <w:rPr>
                <w:b/>
                <w:caps/>
              </w:rPr>
              <w:t>de type court</w:t>
            </w:r>
            <w:bookmarkEnd w:id="2"/>
            <w:bookmarkEnd w:id="3"/>
          </w:p>
          <w:p>
            <w:pPr>
              <w:rPr>
                <w:b/>
                <w:sz w:val="28"/>
              </w:rPr>
            </w:pPr>
          </w:p>
        </w:tc>
      </w:tr>
    </w:tbl>
    <w:p/>
    <w:p/>
    <w:p/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bookmarkStart w:id="4" w:name="FIP"/>
      <w:bookmarkEnd w:id="4"/>
      <w:r>
        <w:rPr>
          <w:sz w:val="22"/>
          <w:szCs w:val="22"/>
        </w:rPr>
        <w:t>L'unité d’enseignement vise à permettre à l'étudiant :</w:t>
      </w:r>
    </w:p>
    <w:p>
      <w:pPr>
        <w:numPr>
          <w:ilvl w:val="0"/>
          <w:numId w:val="3"/>
        </w:numPr>
        <w:suppressAutoHyphens w:val="0"/>
        <w:spacing w:after="12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</w:rPr>
        <w:t>d’acquérir et d’appliquer des techniques de base en mathématiques financières ;</w:t>
      </w:r>
    </w:p>
    <w:p>
      <w:pPr>
        <w:numPr>
          <w:ilvl w:val="0"/>
          <w:numId w:val="3"/>
        </w:numPr>
        <w:suppressAutoHyphens w:val="0"/>
        <w:spacing w:after="12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d’analyser</w:t>
      </w:r>
      <w:r>
        <w:rPr>
          <w:sz w:val="22"/>
          <w:szCs w:val="22"/>
        </w:rPr>
        <w:t xml:space="preserve"> les modes de financement et de paiement du commerce international ;</w:t>
      </w:r>
    </w:p>
    <w:p>
      <w:pPr>
        <w:numPr>
          <w:ilvl w:val="0"/>
          <w:numId w:val="3"/>
        </w:numPr>
        <w:suppressAutoHyphens w:val="0"/>
        <w:spacing w:after="12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proposer</w:t>
      </w:r>
      <w:r>
        <w:rPr>
          <w:sz w:val="22"/>
          <w:szCs w:val="22"/>
        </w:rPr>
        <w:t xml:space="preserve"> des techniques de gestion du risque des changes ;</w:t>
      </w:r>
    </w:p>
    <w:p>
      <w:pPr>
        <w:numPr>
          <w:ilvl w:val="0"/>
          <w:numId w:val="3"/>
        </w:numPr>
        <w:suppressAutoHyphens w:val="0"/>
        <w:spacing w:after="12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d’analyser</w:t>
      </w:r>
      <w:r>
        <w:rPr>
          <w:sz w:val="22"/>
          <w:szCs w:val="22"/>
        </w:rPr>
        <w:t xml:space="preserve"> la rentabilité d’un projet d’investissement.</w:t>
      </w:r>
    </w:p>
    <w:p>
      <w:pPr>
        <w:pStyle w:val="Paragraphedeliste"/>
        <w:rPr>
          <w:sz w:val="22"/>
          <w:szCs w:val="22"/>
        </w:rPr>
      </w:pP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080"/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ind w:left="851"/>
        <w:rPr>
          <w:b/>
          <w:sz w:val="22"/>
          <w:szCs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</w:rPr>
      </w:pPr>
      <w:bookmarkStart w:id="5" w:name="_Hlk52896395"/>
      <w:r>
        <w:rPr>
          <w:sz w:val="22"/>
        </w:rPr>
        <w:t xml:space="preserve">résumer les </w:t>
      </w:r>
      <w:r>
        <w:rPr>
          <w:sz w:val="22"/>
          <w:szCs w:val="22"/>
          <w:lang w:val="fr-BE"/>
        </w:rPr>
        <w:t>idées</w:t>
      </w:r>
      <w:r>
        <w:rPr>
          <w:sz w:val="22"/>
        </w:rPr>
        <w:t xml:space="preserve"> essentielles </w:t>
      </w:r>
      <w:r>
        <w:rPr>
          <w:sz w:val="22"/>
          <w:szCs w:val="22"/>
          <w:lang w:val="fr-BE"/>
        </w:rPr>
        <w:t>d’un</w:t>
      </w:r>
      <w:r>
        <w:rPr>
          <w:sz w:val="22"/>
        </w:rPr>
        <w:t xml:space="preserve"> texte d’intérêt général et les critiquer ;</w:t>
      </w:r>
    </w:p>
    <w:p>
      <w:pPr>
        <w:numPr>
          <w:ilvl w:val="0"/>
          <w:numId w:val="3"/>
        </w:numPr>
        <w:suppressAutoHyphens w:val="0"/>
        <w:ind w:left="709" w:hanging="295"/>
        <w:jc w:val="both"/>
        <w:rPr>
          <w:sz w:val="22"/>
        </w:rPr>
      </w:pPr>
      <w:r>
        <w:rPr>
          <w:sz w:val="22"/>
        </w:rPr>
        <w:t xml:space="preserve">produire un </w:t>
      </w:r>
      <w:r>
        <w:rPr>
          <w:sz w:val="22"/>
          <w:szCs w:val="22"/>
          <w:lang w:val="fr-BE"/>
        </w:rPr>
        <w:t>message</w:t>
      </w:r>
      <w:r>
        <w:rPr>
          <w:sz w:val="22"/>
        </w:rPr>
        <w:t xml:space="preserve"> structuré qui exprime un avis, une prise de position devant un fait, un événement,... (des documents d’information pouvant être mis à sa disposition).</w:t>
      </w:r>
    </w:p>
    <w:bookmarkEnd w:id="5"/>
    <w:p>
      <w:pPr>
        <w:pStyle w:val="Normaltxtdosped"/>
        <w:spacing w:line="360" w:lineRule="auto"/>
        <w:ind w:left="917" w:right="74"/>
        <w:rPr>
          <w:b/>
          <w:bCs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Paragraphedeliste"/>
        <w:ind w:left="792"/>
        <w:rPr>
          <w:bCs/>
          <w:sz w:val="22"/>
          <w:szCs w:val="22"/>
        </w:rPr>
      </w:pPr>
    </w:p>
    <w:p>
      <w:pPr>
        <w:pStyle w:val="Paragraphedeliste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CESS</w:t>
      </w:r>
    </w:p>
    <w:p>
      <w:pPr>
        <w:suppressAutoHyphens w:val="0"/>
        <w:rPr>
          <w:b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ind w:left="360"/>
        <w:jc w:val="both"/>
        <w:rPr>
          <w:b/>
          <w:sz w:val="22"/>
          <w:szCs w:val="22"/>
        </w:rPr>
      </w:pPr>
      <w:bookmarkStart w:id="6" w:name="CAT"/>
      <w:bookmarkEnd w:id="6"/>
      <w:r>
        <w:rPr>
          <w:b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</w:t>
      </w:r>
      <w:r>
        <w:rPr>
          <w:b/>
          <w:sz w:val="22"/>
          <w:szCs w:val="22"/>
        </w:rPr>
        <w:t xml:space="preserve">, </w:t>
      </w:r>
    </w:p>
    <w:p>
      <w:pPr>
        <w:ind w:left="284"/>
        <w:jc w:val="both"/>
        <w:rPr>
          <w:bCs/>
          <w:i/>
          <w:iCs/>
          <w:sz w:val="22"/>
          <w:szCs w:val="22"/>
        </w:rPr>
      </w:pPr>
    </w:p>
    <w:p>
      <w:pPr>
        <w:spacing w:after="120"/>
        <w:ind w:left="405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face à des situations concrètes de la vie professionnelle relatives au financement à l’exportation, aux investissements directs étrangers et à la couverture du risque de change :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lastRenderedPageBreak/>
        <w:t>de proposer et de justifier les modalités de paiement et de financement les plus pertinentes, en tenant compte des risques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d'évaluer la pertinence d'un projet, de prescrire et de justifier un mode de financement adapté aux caractéristiques de l’entreprise et du pays d’exportation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de sélectionner et de justifier le choix d’une couverture de risque de change en fonction du contrat négocié et de la situation monétaire internationale.</w:t>
      </w:r>
    </w:p>
    <w:p>
      <w:pPr>
        <w:suppressAutoHyphens w:val="0"/>
        <w:autoSpaceDE w:val="0"/>
        <w:autoSpaceDN w:val="0"/>
        <w:ind w:left="641"/>
        <w:rPr>
          <w:bCs/>
          <w:iCs/>
          <w:sz w:val="22"/>
          <w:szCs w:val="22"/>
        </w:rPr>
      </w:pPr>
    </w:p>
    <w:p>
      <w:pPr>
        <w:spacing w:after="120"/>
        <w:ind w:left="405"/>
        <w:rPr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de précision : la clarté, la concision, la rigueur au niveau de la terminologie, des concepts et </w:t>
      </w:r>
      <w:r>
        <w:rPr>
          <w:bCs/>
          <w:iCs/>
          <w:sz w:val="22"/>
          <w:szCs w:val="22"/>
        </w:rPr>
        <w:t>des</w:t>
      </w:r>
      <w:r>
        <w:rPr>
          <w:sz w:val="22"/>
          <w:szCs w:val="22"/>
          <w:lang w:eastAsia="fr-FR"/>
        </w:rPr>
        <w:t xml:space="preserve"> techniques/principes/modèles,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</w:t>
      </w:r>
      <w:r>
        <w:rPr>
          <w:bCs/>
          <w:iCs/>
          <w:sz w:val="22"/>
          <w:szCs w:val="22"/>
        </w:rPr>
        <w:t>d’intégration</w:t>
      </w:r>
      <w:r>
        <w:rPr>
          <w:sz w:val="22"/>
          <w:szCs w:val="22"/>
          <w:lang w:eastAsia="fr-FR"/>
        </w:rPr>
        <w:t xml:space="preserve">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d’autonomie : la capacité de faire preuve d’initiatives démontrant une réflexion </w:t>
      </w:r>
      <w:r>
        <w:rPr>
          <w:bCs/>
          <w:iCs/>
          <w:sz w:val="22"/>
          <w:szCs w:val="22"/>
        </w:rPr>
        <w:t>personnelle</w:t>
      </w:r>
      <w:r>
        <w:rPr>
          <w:sz w:val="22"/>
          <w:szCs w:val="22"/>
          <w:lang w:eastAsia="fr-FR"/>
        </w:rPr>
        <w:t xml:space="preserve"> basée sur une exploitation des ressources et des idées en interdépendance avec son environnement.</w:t>
      </w:r>
    </w:p>
    <w:p>
      <w:pPr>
        <w:ind w:left="709"/>
        <w:jc w:val="both"/>
        <w:rPr>
          <w:b/>
          <w:bCs/>
          <w:iCs/>
          <w:sz w:val="22"/>
          <w:szCs w:val="22"/>
        </w:rPr>
      </w:pPr>
    </w:p>
    <w:p>
      <w:pPr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rPr>
          <w:b/>
          <w:sz w:val="22"/>
          <w:szCs w:val="22"/>
        </w:rPr>
      </w:pPr>
    </w:p>
    <w:p>
      <w:pPr>
        <w:ind w:left="36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360"/>
        <w:jc w:val="both"/>
        <w:rPr>
          <w:bCs/>
          <w:i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Notions de mathématiques financières</w:t>
      </w:r>
    </w:p>
    <w:p>
      <w:pPr>
        <w:jc w:val="both"/>
        <w:rPr>
          <w:b/>
          <w:iCs/>
          <w:sz w:val="22"/>
          <w:szCs w:val="22"/>
        </w:rPr>
      </w:pPr>
    </w:p>
    <w:p>
      <w:pPr>
        <w:pStyle w:val="Retraitcorpsdetexte3"/>
        <w:spacing w:after="0"/>
        <w:ind w:left="4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face à des problèmes illustrant des situations issues de la gestion financière dans le cadre du commerce international, </w:t>
      </w:r>
    </w:p>
    <w:p>
      <w:pPr>
        <w:pStyle w:val="Retraitcorpsdetexte3"/>
        <w:ind w:left="4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en utilisant d’une manière adéquate les moyens techniques disponibles (calculatrice, outil informatique ...),</w:t>
      </w:r>
    </w:p>
    <w:p>
      <w:pPr>
        <w:widowControl w:val="0"/>
        <w:numPr>
          <w:ilvl w:val="0"/>
          <w:numId w:val="35"/>
        </w:numPr>
        <w:suppressAutoHyphens w:val="0"/>
        <w:snapToGrid w:val="0"/>
        <w:spacing w:after="120"/>
        <w:ind w:left="709" w:hanging="284"/>
        <w:jc w:val="both"/>
        <w:rPr>
          <w:sz w:val="22"/>
        </w:rPr>
      </w:pPr>
      <w:r>
        <w:rPr>
          <w:sz w:val="22"/>
        </w:rPr>
        <w:t>d’appliquer les formules adéquates et de justifier la pertinence de ses choix méthodologiques pour :</w:t>
      </w:r>
    </w:p>
    <w:p>
      <w:pPr>
        <w:numPr>
          <w:ilvl w:val="0"/>
          <w:numId w:val="37"/>
        </w:numPr>
        <w:tabs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suppressAutoHyphens w:val="0"/>
        <w:ind w:left="2126" w:hanging="510"/>
        <w:jc w:val="both"/>
        <w:rPr>
          <w:sz w:val="22"/>
        </w:rPr>
      </w:pPr>
      <w:r>
        <w:rPr>
          <w:sz w:val="22"/>
        </w:rPr>
        <w:t>calculer des intérêts simples et l’escompte commercial,</w:t>
      </w:r>
    </w:p>
    <w:p>
      <w:pPr>
        <w:numPr>
          <w:ilvl w:val="0"/>
          <w:numId w:val="37"/>
        </w:numPr>
        <w:tabs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suppressAutoHyphens w:val="0"/>
        <w:ind w:left="2126" w:hanging="510"/>
        <w:jc w:val="both"/>
        <w:rPr>
          <w:sz w:val="22"/>
        </w:rPr>
      </w:pPr>
      <w:r>
        <w:rPr>
          <w:sz w:val="22"/>
        </w:rPr>
        <w:t>calculer la valeur acquise ou la valeur actuelle d'un capital par la technique des intérêts composés,</w:t>
      </w:r>
    </w:p>
    <w:p>
      <w:pPr>
        <w:numPr>
          <w:ilvl w:val="0"/>
          <w:numId w:val="37"/>
        </w:numPr>
        <w:tabs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suppressAutoHyphens w:val="0"/>
        <w:ind w:left="2126" w:hanging="510"/>
        <w:jc w:val="both"/>
        <w:rPr>
          <w:sz w:val="22"/>
        </w:rPr>
      </w:pPr>
      <w:r>
        <w:rPr>
          <w:sz w:val="22"/>
        </w:rPr>
        <w:t>calculer le taux réel à partir du taux effectif dans des problèmes courants de financement,</w:t>
      </w:r>
    </w:p>
    <w:p>
      <w:pPr>
        <w:numPr>
          <w:ilvl w:val="0"/>
          <w:numId w:val="37"/>
        </w:numPr>
        <w:tabs>
          <w:tab w:val="left" w:pos="851"/>
          <w:tab w:val="num" w:pos="2126"/>
          <w:tab w:val="num" w:pos="2213"/>
          <w:tab w:val="left" w:pos="3600"/>
          <w:tab w:val="left" w:pos="5760"/>
          <w:tab w:val="left" w:pos="7056"/>
          <w:tab w:val="left" w:pos="7488"/>
        </w:tabs>
        <w:suppressAutoHyphens w:val="0"/>
        <w:ind w:left="2126" w:hanging="510"/>
        <w:jc w:val="both"/>
        <w:rPr>
          <w:sz w:val="22"/>
        </w:rPr>
      </w:pPr>
      <w:r>
        <w:rPr>
          <w:bCs/>
          <w:sz w:val="22"/>
          <w:szCs w:val="22"/>
        </w:rPr>
        <w:t>calculer</w:t>
      </w:r>
      <w:r>
        <w:rPr>
          <w:sz w:val="22"/>
        </w:rPr>
        <w:t xml:space="preserve"> la valeur de l'annuité et élaborer le tableau d’amortissement dans des problèmes courants de prêts à long terme.</w:t>
      </w:r>
    </w:p>
    <w:p>
      <w:pPr>
        <w:jc w:val="both"/>
        <w:rPr>
          <w:bCs/>
          <w:i/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Gestion et techniques financières appliquées au commerce international</w:t>
      </w:r>
    </w:p>
    <w:p>
      <w:pPr>
        <w:jc w:val="both"/>
        <w:rPr>
          <w:bCs/>
          <w:iCs/>
          <w:sz w:val="22"/>
          <w:szCs w:val="22"/>
        </w:rPr>
      </w:pPr>
    </w:p>
    <w:p>
      <w:pPr>
        <w:ind w:left="360"/>
        <w:jc w:val="both"/>
        <w:rPr>
          <w:bCs/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face</w:t>
      </w:r>
      <w:proofErr w:type="gramEnd"/>
      <w:r>
        <w:rPr>
          <w:bCs/>
          <w:i/>
          <w:sz w:val="22"/>
          <w:szCs w:val="22"/>
        </w:rPr>
        <w:t xml:space="preserve"> à des situations concrètes de la vie professionnelle relatives au financement à l’exportation, aux investissements directs étrangers et à la couverture du risque de change :</w:t>
      </w:r>
    </w:p>
    <w:p>
      <w:pPr>
        <w:ind w:left="360"/>
        <w:jc w:val="both"/>
        <w:rPr>
          <w:bCs/>
          <w:i/>
          <w:sz w:val="22"/>
          <w:szCs w:val="22"/>
        </w:rPr>
      </w:pP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de </w:t>
      </w:r>
      <w:r>
        <w:rPr>
          <w:sz w:val="22"/>
          <w:szCs w:val="22"/>
          <w:lang w:eastAsia="fr-FR"/>
        </w:rPr>
        <w:t>décrire</w:t>
      </w:r>
      <w:r>
        <w:rPr>
          <w:bCs/>
          <w:iCs/>
          <w:sz w:val="22"/>
          <w:szCs w:val="22"/>
        </w:rPr>
        <w:t xml:space="preserve"> le système bancaire et le fonctionnement élémentaire du marché monétaire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d’expliciter les techniques de paiement et de financement utilisées dans le commerce international ;</w:t>
      </w:r>
    </w:p>
    <w:p>
      <w:pPr>
        <w:numPr>
          <w:ilvl w:val="0"/>
          <w:numId w:val="32"/>
        </w:numPr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</w:rPr>
      </w:pPr>
      <w:r>
        <w:rPr>
          <w:sz w:val="22"/>
          <w:szCs w:val="22"/>
        </w:rPr>
        <w:t>de proposer et de justifier la technique de paiement et/ou de financement adéquate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  <w:szCs w:val="22"/>
          <w:lang w:eastAsia="fr-FR"/>
        </w:rPr>
        <w:lastRenderedPageBreak/>
        <w:t>d’évaluer</w:t>
      </w:r>
      <w:r>
        <w:rPr>
          <w:bCs/>
          <w:iCs/>
          <w:sz w:val="22"/>
          <w:szCs w:val="22"/>
        </w:rPr>
        <w:t xml:space="preserve"> le risque de crédit à l'exportation et de proposer une solution pour le gérer ;</w:t>
      </w:r>
    </w:p>
    <w:p>
      <w:pPr>
        <w:numPr>
          <w:ilvl w:val="0"/>
          <w:numId w:val="32"/>
        </w:numPr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de </w:t>
      </w:r>
      <w:r>
        <w:rPr>
          <w:sz w:val="22"/>
          <w:szCs w:val="22"/>
          <w:lang w:eastAsia="fr-FR"/>
        </w:rPr>
        <w:t>situer</w:t>
      </w:r>
      <w:r>
        <w:rPr>
          <w:bCs/>
          <w:iCs/>
          <w:sz w:val="22"/>
          <w:szCs w:val="22"/>
        </w:rPr>
        <w:t xml:space="preserve"> le marché des changes dans le système financier 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d’expliciter les notions de marché des changes, de risque de change, de risque de taux d’intérêt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 xml:space="preserve">de prescrire la/les technique(s) de gestion du risque de change (parmi les couvertures bancaires et </w:t>
      </w:r>
      <w:r>
        <w:rPr>
          <w:bCs/>
          <w:iCs/>
          <w:sz w:val="22"/>
          <w:szCs w:val="22"/>
        </w:rPr>
        <w:t>d’assurance</w:t>
      </w:r>
      <w:r>
        <w:rPr>
          <w:sz w:val="22"/>
          <w:szCs w:val="22"/>
        </w:rPr>
        <w:t xml:space="preserve">) </w:t>
      </w:r>
      <w:r>
        <w:rPr>
          <w:bCs/>
          <w:iCs/>
          <w:sz w:val="22"/>
          <w:szCs w:val="22"/>
        </w:rPr>
        <w:t>en fonction du contrat négocié et de la situation monétaire internationale en justifiant ses choix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d’identifier le concept d'investissement direct étranger, les différentes catégories, l’impact sur le pays d’accueil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d'évaluer la </w:t>
      </w:r>
      <w:r>
        <w:rPr>
          <w:sz w:val="22"/>
          <w:szCs w:val="22"/>
          <w:lang w:eastAsia="fr-FR"/>
        </w:rPr>
        <w:t>rentabilité</w:t>
      </w:r>
      <w:r>
        <w:rPr>
          <w:bCs/>
          <w:iCs/>
          <w:sz w:val="22"/>
          <w:szCs w:val="22"/>
        </w:rPr>
        <w:t xml:space="preserve"> d'un projet.</w:t>
      </w:r>
    </w:p>
    <w:p>
      <w:pPr>
        <w:ind w:left="360"/>
        <w:jc w:val="both"/>
        <w:rPr>
          <w:bCs/>
          <w:iCs/>
          <w:sz w:val="22"/>
          <w:szCs w:val="22"/>
        </w:rPr>
      </w:pP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jc w:val="left"/>
        <w:rPr>
          <w:rFonts w:ascii="Times New Roman" w:hAnsi="Times New Roman"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5"/>
        <w:jc w:val="both"/>
        <w:rPr>
          <w:sz w:val="22"/>
          <w:szCs w:val="22"/>
        </w:rPr>
      </w:pPr>
    </w:p>
    <w:p>
      <w:pPr>
        <w:ind w:left="425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spacing w:before="120"/>
        <w:ind w:left="284"/>
        <w:jc w:val="both"/>
        <w:rPr>
          <w:sz w:val="22"/>
          <w:szCs w:val="22"/>
        </w:rPr>
      </w:pPr>
    </w:p>
    <w:p>
      <w:pPr>
        <w:ind w:left="426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tbl>
      <w:tblPr>
        <w:tblW w:w="8829" w:type="dxa"/>
        <w:tblInd w:w="2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90"/>
        <w:gridCol w:w="1440"/>
        <w:gridCol w:w="1276"/>
        <w:gridCol w:w="1523"/>
      </w:tblGrid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 des cours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Cs/>
                <w:iCs/>
                <w:sz w:val="22"/>
                <w:szCs w:val="22"/>
              </w:rPr>
            </w:pPr>
            <w:bookmarkStart w:id="7" w:name="VOL"/>
            <w:bookmarkEnd w:id="7"/>
            <w:r>
              <w:rPr>
                <w:bCs/>
                <w:iCs/>
                <w:sz w:val="22"/>
                <w:szCs w:val="22"/>
              </w:rPr>
              <w:t>Notions de mathématiques financières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Gestion et techniques financières appliquées au commerce international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c>
          <w:tcPr>
            <w:tcW w:w="4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>
      <w:pPr>
        <w:snapToGrid w:val="0"/>
        <w:ind w:left="426"/>
        <w:rPr>
          <w:b/>
          <w:sz w:val="22"/>
          <w:szCs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1F497D" w:themeColor="text2"/>
      </w:rPr>
      <w:id w:val="1695354465"/>
      <w:docPartObj>
        <w:docPartGallery w:val="Page Numbers (Bottom of Page)"/>
        <w:docPartUnique/>
      </w:docPartObj>
    </w:sdtPr>
    <w:sdtContent>
      <w:sdt>
        <w:sdtPr>
          <w:rPr>
            <w:color w:val="1F497D" w:themeColor="text2"/>
          </w:rPr>
          <w:id w:val="-170523852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rPr>
                <w:color w:val="1F497D" w:themeColor="text2"/>
              </w:rPr>
            </w:pPr>
          </w:p>
          <w:p>
            <w:pPr>
              <w:pStyle w:val="Pieddepage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Bachelier en International Business : UE Gestion et techniques financières appliquées au commerce international </w:t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  <w:sz w:val="18"/>
                <w:szCs w:val="18"/>
              </w:rPr>
              <w:t>Page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PAGE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2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  <w:r>
              <w:rPr>
                <w:color w:val="1F497D" w:themeColor="text2"/>
              </w:rPr>
              <w:t xml:space="preserve"> sur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NUMPAGES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4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64CA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B4D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10A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84E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9E6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1A9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9E9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0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EA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F8A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13" w15:restartNumberingAfterBreak="0">
    <w:nsid w:val="132C2278"/>
    <w:multiLevelType w:val="hybridMultilevel"/>
    <w:tmpl w:val="2004B4D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4" w15:restartNumberingAfterBreak="0">
    <w:nsid w:val="22717901"/>
    <w:multiLevelType w:val="hybridMultilevel"/>
    <w:tmpl w:val="F5709554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BF4762E"/>
    <w:multiLevelType w:val="hybridMultilevel"/>
    <w:tmpl w:val="DAA8F23C"/>
    <w:lvl w:ilvl="0" w:tplc="FFFFFFFF"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7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5065DAB"/>
    <w:multiLevelType w:val="hybridMultilevel"/>
    <w:tmpl w:val="67E4EE3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19" w15:restartNumberingAfterBreak="0">
    <w:nsid w:val="36E81C10"/>
    <w:multiLevelType w:val="hybridMultilevel"/>
    <w:tmpl w:val="832C8D62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3155F"/>
    <w:multiLevelType w:val="hybridMultilevel"/>
    <w:tmpl w:val="3F527D3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213"/>
        </w:tabs>
        <w:ind w:left="72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933"/>
        </w:tabs>
        <w:ind w:left="79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653"/>
        </w:tabs>
        <w:ind w:left="8653" w:hanging="360"/>
      </w:pPr>
      <w:rPr>
        <w:rFonts w:ascii="Wingdings" w:hAnsi="Wingdings" w:hint="default"/>
      </w:rPr>
    </w:lvl>
  </w:abstractNum>
  <w:abstractNum w:abstractNumId="21" w15:restartNumberingAfterBreak="0">
    <w:nsid w:val="3BC5317D"/>
    <w:multiLevelType w:val="hybridMultilevel"/>
    <w:tmpl w:val="6BF2B31E"/>
    <w:lvl w:ilvl="0" w:tplc="080C0003">
      <w:start w:val="1"/>
      <w:numFmt w:val="bullet"/>
      <w:lvlText w:val="o"/>
      <w:lvlJc w:val="left"/>
      <w:pPr>
        <w:ind w:left="1275" w:hanging="283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2" w15:restartNumberingAfterBreak="0">
    <w:nsid w:val="3D011282"/>
    <w:multiLevelType w:val="hybridMultilevel"/>
    <w:tmpl w:val="710C5E8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3D7D2ACF"/>
    <w:multiLevelType w:val="hybridMultilevel"/>
    <w:tmpl w:val="D9366F56"/>
    <w:lvl w:ilvl="0" w:tplc="FFFFFFFF">
      <w:numFmt w:val="bullet"/>
      <w:lvlText w:val=""/>
      <w:legacy w:legacy="1" w:legacySpace="0" w:legacyIndent="283"/>
      <w:lvlJc w:val="left"/>
      <w:pPr>
        <w:ind w:left="156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DD72A1A"/>
    <w:multiLevelType w:val="hybridMultilevel"/>
    <w:tmpl w:val="E34EBBE4"/>
    <w:lvl w:ilvl="0" w:tplc="C4DEEDFE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3072C54"/>
    <w:multiLevelType w:val="singleLevel"/>
    <w:tmpl w:val="2E26F652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26" w15:restartNumberingAfterBreak="0">
    <w:nsid w:val="435B3C7D"/>
    <w:multiLevelType w:val="hybridMultilevel"/>
    <w:tmpl w:val="8AB8609E"/>
    <w:lvl w:ilvl="0" w:tplc="FFFFFFFF">
      <w:numFmt w:val="bullet"/>
      <w:lvlText w:val=""/>
      <w:legacy w:legacy="1" w:legacySpace="0" w:legacyIndent="283"/>
      <w:lvlJc w:val="left"/>
      <w:pPr>
        <w:ind w:left="458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886"/>
        </w:tabs>
        <w:ind w:left="48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606"/>
        </w:tabs>
        <w:ind w:left="56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326"/>
        </w:tabs>
        <w:ind w:left="63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7046"/>
        </w:tabs>
        <w:ind w:left="70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486"/>
        </w:tabs>
        <w:ind w:left="84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9206"/>
        </w:tabs>
        <w:ind w:left="920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</w:rPr>
    </w:lvl>
  </w:abstractNum>
  <w:abstractNum w:abstractNumId="27" w15:restartNumberingAfterBreak="0">
    <w:nsid w:val="45185FE6"/>
    <w:multiLevelType w:val="hybridMultilevel"/>
    <w:tmpl w:val="ABE2AA8E"/>
    <w:lvl w:ilvl="0" w:tplc="FFFFFFFF">
      <w:numFmt w:val="bullet"/>
      <w:lvlText w:val=""/>
      <w:legacy w:legacy="1" w:legacySpace="0" w:legacyIndent="283"/>
      <w:lvlJc w:val="left"/>
      <w:pPr>
        <w:ind w:left="1275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8" w15:restartNumberingAfterBreak="0">
    <w:nsid w:val="4B3327DC"/>
    <w:multiLevelType w:val="hybridMultilevel"/>
    <w:tmpl w:val="B26684C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29" w15:restartNumberingAfterBreak="0">
    <w:nsid w:val="4E640F9D"/>
    <w:multiLevelType w:val="hybridMultilevel"/>
    <w:tmpl w:val="3F4237CE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CE6061"/>
    <w:multiLevelType w:val="multilevel"/>
    <w:tmpl w:val="7FE01B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7"/>
        </w:tabs>
        <w:ind w:left="7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</w:rPr>
    </w:lvl>
  </w:abstractNum>
  <w:abstractNum w:abstractNumId="31" w15:restartNumberingAfterBreak="0">
    <w:nsid w:val="6F3F0B65"/>
    <w:multiLevelType w:val="hybridMultilevel"/>
    <w:tmpl w:val="3C94779C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BF3F0C"/>
    <w:multiLevelType w:val="hybridMultilevel"/>
    <w:tmpl w:val="C8223ED6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71B4552E"/>
    <w:multiLevelType w:val="hybridMultilevel"/>
    <w:tmpl w:val="87E60A6A"/>
    <w:lvl w:ilvl="0" w:tplc="FFFFFFFF">
      <w:numFmt w:val="bullet"/>
      <w:lvlText w:val=""/>
      <w:legacy w:legacy="1" w:legacySpace="36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7EC35286"/>
    <w:multiLevelType w:val="multilevel"/>
    <w:tmpl w:val="8AB8609E"/>
    <w:lvl w:ilvl="0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  <w:num w:numId="5">
    <w:abstractNumId w:val="16"/>
  </w:num>
  <w:num w:numId="6">
    <w:abstractNumId w:val="22"/>
  </w:num>
  <w:num w:numId="7">
    <w:abstractNumId w:val="33"/>
  </w:num>
  <w:num w:numId="8">
    <w:abstractNumId w:val="20"/>
  </w:num>
  <w:num w:numId="9">
    <w:abstractNumId w:val="23"/>
  </w:num>
  <w:num w:numId="10">
    <w:abstractNumId w:val="13"/>
  </w:num>
  <w:num w:numId="11">
    <w:abstractNumId w:val="26"/>
  </w:num>
  <w:num w:numId="12">
    <w:abstractNumId w:val="31"/>
  </w:num>
  <w:num w:numId="13">
    <w:abstractNumId w:val="29"/>
  </w:num>
  <w:num w:numId="14">
    <w:abstractNumId w:val="14"/>
  </w:num>
  <w:num w:numId="15">
    <w:abstractNumId w:val="32"/>
  </w:num>
  <w:num w:numId="16">
    <w:abstractNumId w:val="28"/>
  </w:num>
  <w:num w:numId="17">
    <w:abstractNumId w:val="30"/>
  </w:num>
  <w:num w:numId="18">
    <w:abstractNumId w:val="19"/>
  </w:num>
  <w:num w:numId="19">
    <w:abstractNumId w:val="34"/>
  </w:num>
  <w:num w:numId="20">
    <w:abstractNumId w:val="18"/>
  </w:num>
  <w:num w:numId="21">
    <w:abstractNumId w:val="12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5"/>
  </w:num>
  <w:num w:numId="33">
    <w:abstractNumId w:val="27"/>
  </w:num>
  <w:num w:numId="34">
    <w:abstractNumId w:val="21"/>
  </w:num>
  <w:num w:numId="35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6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  <w:sz w:val="18"/>
        </w:rPr>
      </w:lvl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4E507A3-8B51-47CD-97A7-3AFC2002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ascii="Calibri" w:hAnsi="Calibri"/>
      <w:b/>
      <w:sz w:val="22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color w:val="auto"/>
      <w:spacing w:val="0"/>
      <w:kern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link w:val="Titre2"/>
    <w:uiPriority w:val="99"/>
    <w:locked/>
    <w:rPr>
      <w:rFonts w:eastAsia="Times New Roman" w:cs="Times New Roman"/>
      <w:b/>
      <w:sz w:val="22"/>
      <w:lang w:val="fr-FR" w:eastAsia="ar-SA" w:bidi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21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</w:style>
  <w:style w:type="paragraph" w:customStyle="1" w:styleId="PU1">
    <w:name w:val="PU1"/>
    <w:basedOn w:val="Normal"/>
    <w:autoRedefine/>
    <w:uiPriority w:val="99"/>
    <w:pPr>
      <w:numPr>
        <w:numId w:val="32"/>
      </w:numPr>
      <w:tabs>
        <w:tab w:val="clear" w:pos="1211"/>
        <w:tab w:val="num" w:pos="720"/>
      </w:tabs>
      <w:suppressAutoHyphens w:val="0"/>
      <w:autoSpaceDE w:val="0"/>
      <w:autoSpaceDN w:val="0"/>
      <w:ind w:left="643"/>
      <w:jc w:val="both"/>
    </w:pPr>
    <w:rPr>
      <w:sz w:val="22"/>
      <w:szCs w:val="22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Times New Roman" w:eastAsia="Times New Roman" w:hAnsi="Times New Roman"/>
      <w:sz w:val="16"/>
      <w:szCs w:val="16"/>
      <w:lang w:val="fr-FR" w:eastAsia="ar-SA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33185-05C2-4129-9BEC-F0C84EF3C0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54DEFA-0504-4241-AD6D-41A7DF675CEE}"/>
</file>

<file path=customXml/itemProps3.xml><?xml version="1.0" encoding="utf-8"?>
<ds:datastoreItem xmlns:ds="http://schemas.openxmlformats.org/officeDocument/2006/customXml" ds:itemID="{53FF87C8-D243-4E0F-98A5-25CE41C4F3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906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Institut Ferdinand Cocq Ixelles</Company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christiane</dc:creator>
  <cp:keywords/>
  <dc:description/>
  <cp:lastModifiedBy>goulet02</cp:lastModifiedBy>
  <cp:revision>21</cp:revision>
  <dcterms:created xsi:type="dcterms:W3CDTF">2020-06-15T16:01:00Z</dcterms:created>
  <dcterms:modified xsi:type="dcterms:W3CDTF">2021-10-13T12:34:00Z</dcterms:modified>
</cp:coreProperties>
</file>