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information et communication professionnelles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 50 22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20 août 2018,</w:t>
      </w:r>
    </w:p>
    <w:p>
      <w:pPr>
        <w:pStyle w:val="Normaltxtdosped"/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</w:rPr>
              <w:t>information et communication professionnelles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spacing w:line="360" w:lineRule="auto"/>
        <w:ind w:left="1134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ind w:left="1134"/>
        <w:jc w:val="both"/>
        <w:rPr>
          <w:sz w:val="22"/>
        </w:rPr>
      </w:pPr>
      <w:r>
        <w:rPr>
          <w:sz w:val="22"/>
        </w:rPr>
        <w:t>de produire des documents écrits et d’exprimer des messages oraux simples appropriés à des situations de communication professionnelle.</w:t>
      </w:r>
    </w:p>
    <w:p>
      <w:pPr>
        <w:pStyle w:val="Normaltxtdosped"/>
        <w:numPr>
          <w:ilvl w:val="12"/>
          <w:numId w:val="0"/>
        </w:numPr>
        <w:tabs>
          <w:tab w:val="num" w:pos="1211"/>
        </w:tabs>
        <w:ind w:left="1211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 xml:space="preserve">Pour atteindre le seuil de réussite, l’étudiant devra prouver qu’il est capable, 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rapport de synthèse comprenant un résumé et un commentaire critique argumenté 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 simple. </w:t>
      </w:r>
    </w:p>
    <w:p>
      <w:pPr>
        <w:pStyle w:val="Normaltxtdosped"/>
        <w:ind w:left="78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degré de précision et de clarté de l’expression,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niveau de respect du sens des informations traitées.</w:t>
      </w: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b/>
          <w:sz w:val="22"/>
        </w:rPr>
        <w:t>l’étudiant sera capable :</w:t>
      </w:r>
    </w:p>
    <w:p>
      <w:pPr>
        <w:pStyle w:val="Normaltxtdosped"/>
        <w:numPr>
          <w:ilvl w:val="12"/>
          <w:numId w:val="0"/>
        </w:numPr>
        <w:jc w:val="both"/>
        <w:rPr>
          <w:i/>
          <w:sz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prendre des notes selon une combinaison de techniques appropriées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élaboration d’un travail personnel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lastRenderedPageBreak/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Information et communication professionnelles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bookmarkStart w:id="0" w:name="_GoBack"/>
            <w:r>
              <w:rPr>
                <w:lang w:val="fr-BE"/>
              </w:rPr>
              <w:t>Nombre d’ECTS</w:t>
            </w:r>
            <w:bookmarkEnd w:id="0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Information et communication professionnelles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4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6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7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1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2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14">
    <w:nsid w:val="7D405523"/>
    <w:multiLevelType w:val="hybridMultilevel"/>
    <w:tmpl w:val="D6CE26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2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0"/>
  </w:num>
  <w:num w:numId="12">
    <w:abstractNumId w:val="0"/>
  </w:num>
  <w:num w:numId="13">
    <w:abstractNumId w:val="11"/>
  </w:num>
  <w:num w:numId="14">
    <w:abstractNumId w:val="10"/>
  </w:num>
  <w:num w:numId="15">
    <w:abstractNumId w:val="3"/>
  </w:num>
  <w:num w:numId="16">
    <w:abstractNumId w:val="3"/>
  </w:num>
  <w:num w:numId="17">
    <w:abstractNumId w:val="5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8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BEB6E99-BE00-4C4D-BC4C-F6C80AE2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40468-4AAF-46E8-BCB7-D3D87C891072}"/>
</file>

<file path=customXml/itemProps2.xml><?xml version="1.0" encoding="utf-8"?>
<ds:datastoreItem xmlns:ds="http://schemas.openxmlformats.org/officeDocument/2006/customXml" ds:itemID="{6359B4C2-8B88-4C0B-902E-43B0319A8E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LEEGTE Pascale</cp:lastModifiedBy>
  <cp:revision>2</cp:revision>
  <cp:lastPrinted>1999-08-23T11:58:00Z</cp:lastPrinted>
  <dcterms:created xsi:type="dcterms:W3CDTF">2022-12-09T10:13:00Z</dcterms:created>
  <dcterms:modified xsi:type="dcterms:W3CDTF">2022-12-09T10:13:00Z</dcterms:modified>
</cp:coreProperties>
</file>