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itre3"/>
        <w:rPr>
          <w:sz w:val="24"/>
          <w:szCs w:val="24"/>
        </w:rPr>
      </w:pPr>
      <w:r>
        <w:rPr>
          <w:sz w:val="24"/>
          <w:szCs w:val="24"/>
        </w:rPr>
        <w:t>UNITE D’ENSEIGNEMENT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Corpsdetexte2"/>
      </w:pPr>
      <w:r>
        <w:t>Logique et automatisme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4"/>
          <w:szCs w:val="24"/>
        </w:rPr>
      </w:pPr>
      <w:r>
        <w:rPr>
          <w:rFonts w:ascii="Times New Roman" w:hAnsi="Times New Roman"/>
          <w:b/>
          <w:noProof w:val="0"/>
          <w:sz w:val="24"/>
          <w:szCs w:val="24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4"/>
          <w:szCs w:val="24"/>
        </w:rPr>
        <w:t>superieur de type court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4"/>
          <w:szCs w:val="24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DOMAINE : SCIENCES DE L’INGENIEUR ET TECHNOLOGIE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33"/>
      </w:tblGrid>
      <w:tr>
        <w:trPr>
          <w:jc w:val="center"/>
        </w:trPr>
        <w:tc>
          <w:tcPr>
            <w:tcW w:w="6633" w:type="dxa"/>
          </w:tcPr>
          <w:p>
            <w:pPr>
              <w:pStyle w:val="Texte"/>
              <w:spacing w:before="120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szCs w:val="22"/>
              </w:rPr>
              <w:t>CODE : 24 10 01 U31 D2</w:t>
            </w:r>
          </w:p>
        </w:tc>
      </w:tr>
      <w:tr>
        <w:trPr>
          <w:jc w:val="center"/>
        </w:trPr>
        <w:tc>
          <w:tcPr>
            <w:tcW w:w="6633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szCs w:val="22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633" w:type="dxa"/>
          </w:tcPr>
          <w:p>
            <w:pPr>
              <w:pStyle w:val="Texte"/>
              <w:spacing w:after="120"/>
              <w:jc w:val="center"/>
              <w:rPr>
                <w:rFonts w:ascii="Times New Roman" w:hAnsi="Times New Roman"/>
                <w:b/>
                <w:noProof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szCs w:val="22"/>
              </w:rPr>
              <w:t>DOCUMENT DE REFERENCE INTER-RESEAUX</w:t>
            </w:r>
          </w:p>
        </w:tc>
      </w:tr>
    </w:tbl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Approbation du Gouvernement de la Communauté française du 12 juillet 2023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>,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sur avis conforme du Conseil général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br w:type="page"/>
      </w: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pStyle w:val="Corpsdetexte3"/>
              <w:spacing w:before="120"/>
              <w:rPr>
                <w:szCs w:val="28"/>
              </w:rPr>
            </w:pPr>
            <w:r>
              <w:br w:type="page"/>
            </w:r>
            <w:r>
              <w:rPr>
                <w:szCs w:val="28"/>
              </w:rPr>
              <w:t>LOGIQUE et automatisme</w:t>
            </w:r>
          </w:p>
          <w:p>
            <w:pPr>
              <w:pStyle w:val="Corpsdetexte3"/>
              <w:rPr>
                <w:sz w:val="24"/>
                <w:szCs w:val="24"/>
              </w:rPr>
            </w:pPr>
          </w:p>
          <w:p>
            <w:pPr>
              <w:pStyle w:val="Titre4"/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court</w:t>
            </w:r>
          </w:p>
        </w:tc>
      </w:tr>
    </w:tbl>
    <w:p>
      <w:pPr>
        <w:spacing w:after="120"/>
        <w:rPr>
          <w:rFonts w:ascii="Times New Roman" w:hAnsi="Times New Roman"/>
          <w:sz w:val="22"/>
          <w:szCs w:val="22"/>
        </w:rPr>
      </w:pP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</w:t>
      </w:r>
      <w:r>
        <w:rPr>
          <w:rFonts w:ascii="Times New Roman" w:hAnsi="Times New Roman"/>
          <w:b/>
          <w:sz w:val="22"/>
          <w:szCs w:val="22"/>
        </w:rPr>
        <w:tab/>
        <w:t>FINALITES DE L’UNITE D’ENSEIGNEMENT</w:t>
      </w:r>
    </w:p>
    <w:p>
      <w:pPr>
        <w:tabs>
          <w:tab w:val="left" w:pos="851"/>
        </w:tabs>
        <w:spacing w:after="120"/>
        <w:ind w:left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1.1.</w:t>
      </w:r>
      <w:r>
        <w:rPr>
          <w:rFonts w:ascii="Times New Roman" w:hAnsi="Times New Roman"/>
          <w:b/>
          <w:sz w:val="22"/>
          <w:szCs w:val="22"/>
        </w:rPr>
        <w:tab/>
        <w:t>Finalités générales</w:t>
      </w:r>
      <w:r>
        <w:rPr>
          <w:rFonts w:ascii="Times New Roman" w:hAnsi="Times New Roman"/>
          <w:sz w:val="22"/>
          <w:szCs w:val="22"/>
        </w:rPr>
        <w:t xml:space="preserve"> </w:t>
      </w:r>
    </w:p>
    <w:p>
      <w:pPr>
        <w:spacing w:after="120"/>
        <w:ind w:left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Conformément à l’article 7 du décret de la Communauté française du 16 avril 1991 organisant l'enseignement de promotion sociale, cette unité d’enseignement doit :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concourir à l’épanouissement individuel en promouvant une meilleure insertion professionnelle, sociale, culturelle et scolaire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répondre aux besoins et demandes en formation émanant des entreprises, des administrations, de l’enseignement et, d’une manière générale, des milieux socio-économiques et culturels.</w:t>
      </w:r>
    </w:p>
    <w:p>
      <w:pPr>
        <w:tabs>
          <w:tab w:val="left" w:pos="851"/>
        </w:tabs>
        <w:spacing w:after="120"/>
        <w:ind w:left="2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1.2.</w:t>
      </w:r>
      <w:r>
        <w:rPr>
          <w:rFonts w:ascii="Times New Roman" w:hAnsi="Times New Roman"/>
          <w:b/>
          <w:sz w:val="22"/>
          <w:szCs w:val="22"/>
        </w:rPr>
        <w:tab/>
        <w:t>Finalités particulières</w:t>
      </w:r>
    </w:p>
    <w:p>
      <w:pPr>
        <w:spacing w:after="120"/>
        <w:ind w:left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Cette unité d’enseignement vise à permettre à l’étudiant :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d’élaborer le « schéma bloc » d'un automatisme simple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construire un programme relatif à un automatisme simple.</w:t>
      </w:r>
    </w:p>
    <w:p>
      <w:pPr>
        <w:spacing w:after="120"/>
        <w:rPr>
          <w:rFonts w:ascii="Times New Roman" w:hAnsi="Times New Roman"/>
          <w:sz w:val="22"/>
          <w:szCs w:val="22"/>
        </w:rPr>
      </w:pP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</w:t>
      </w:r>
      <w:r>
        <w:rPr>
          <w:rFonts w:ascii="Times New Roman" w:hAnsi="Times New Roman"/>
          <w:b/>
          <w:sz w:val="22"/>
          <w:szCs w:val="22"/>
        </w:rPr>
        <w:tab/>
        <w:t>CAPACITES PREALABLES REQUISES</w:t>
      </w:r>
    </w:p>
    <w:p>
      <w:pPr>
        <w:numPr>
          <w:ilvl w:val="1"/>
          <w:numId w:val="21"/>
        </w:numPr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Capacités</w:t>
      </w:r>
    </w:p>
    <w:p>
      <w:pPr>
        <w:tabs>
          <w:tab w:val="left" w:pos="851"/>
        </w:tabs>
        <w:spacing w:after="120"/>
        <w:ind w:left="284" w:firstLine="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En « Electricité et électronique de base »,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à partir d’une application électrique et électronique fournie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sur base de modèles mathématiques appropriés,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</w:rPr>
        <w:t>en disposant des équipements nécessaires et</w:t>
      </w:r>
      <w:r>
        <w:rPr>
          <w:rFonts w:ascii="Times New Roman" w:hAnsi="Times New Roman"/>
          <w:i/>
          <w:szCs w:val="22"/>
          <w:lang w:eastAsia="ar-SA"/>
        </w:rPr>
        <w:t xml:space="preserve"> d’une structure informatique,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disposant d’autres ressources documentaires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dans le respect des règles de sécurité, d’hygiène, environnementales, des processus qualité, de la législation en vigueur et du RGIE actualisé,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respectant les consignes fournies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851"/>
        <w:jc w:val="both"/>
        <w:rPr>
          <w:rFonts w:ascii="Times New Roman" w:hAnsi="Times New Roman"/>
          <w:i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t>en développant des compétences de communication écrite et orale en langue française et/ou en langue anglaise,</w:t>
      </w:r>
    </w:p>
    <w:p>
      <w:pPr>
        <w:pStyle w:val="Paragraphedeliste"/>
        <w:numPr>
          <w:ilvl w:val="0"/>
          <w:numId w:val="18"/>
        </w:numPr>
        <w:tabs>
          <w:tab w:val="clear" w:pos="360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résoudre un cas pratique d’électricité et d’électronique en recourant aux concepts théoriques ;</w:t>
      </w:r>
    </w:p>
    <w:p>
      <w:pPr>
        <w:pStyle w:val="Paragraphedeliste"/>
        <w:numPr>
          <w:ilvl w:val="0"/>
          <w:numId w:val="18"/>
        </w:numPr>
        <w:tabs>
          <w:tab w:val="clear" w:pos="360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expliciter la méthode utilisée ;</w:t>
      </w:r>
    </w:p>
    <w:p>
      <w:pPr>
        <w:pStyle w:val="Paragraphedeliste"/>
        <w:numPr>
          <w:ilvl w:val="0"/>
          <w:numId w:val="18"/>
        </w:numPr>
        <w:tabs>
          <w:tab w:val="clear" w:pos="360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de manière critique les résultats obtenus.</w:t>
      </w:r>
    </w:p>
    <w:p>
      <w:pPr>
        <w:numPr>
          <w:ilvl w:val="1"/>
          <w:numId w:val="21"/>
        </w:numPr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Titre pouvant en tenir lieu</w:t>
      </w:r>
    </w:p>
    <w:p>
      <w:pPr>
        <w:tabs>
          <w:tab w:val="left" w:pos="0"/>
          <w:tab w:val="right" w:pos="7621"/>
        </w:tabs>
        <w:spacing w:after="120"/>
        <w:ind w:left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Attestation de réussite de l’unité d’enseignement </w:t>
      </w:r>
      <w:r>
        <w:rPr>
          <w:rFonts w:ascii="Times New Roman" w:hAnsi="Times New Roman"/>
          <w:b/>
          <w:sz w:val="22"/>
          <w:szCs w:val="22"/>
        </w:rPr>
        <w:t xml:space="preserve">« Electricité et électronique de base », </w:t>
      </w:r>
      <w:r>
        <w:rPr>
          <w:rFonts w:ascii="Times New Roman" w:hAnsi="Times New Roman"/>
          <w:sz w:val="22"/>
          <w:szCs w:val="22"/>
        </w:rPr>
        <w:t>code n° 21 10 02 U31 D2, classée dans l’enseignement supérieur de type court.</w:t>
      </w: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br w:type="page"/>
      </w:r>
      <w:r>
        <w:rPr>
          <w:rFonts w:ascii="Times New Roman" w:hAnsi="Times New Roman"/>
          <w:b/>
          <w:sz w:val="22"/>
          <w:szCs w:val="22"/>
        </w:rPr>
        <w:lastRenderedPageBreak/>
        <w:t>3.</w:t>
      </w:r>
      <w:r>
        <w:rPr>
          <w:rFonts w:ascii="Times New Roman" w:hAnsi="Times New Roman"/>
          <w:b/>
          <w:sz w:val="22"/>
          <w:szCs w:val="22"/>
        </w:rPr>
        <w:tab/>
        <w:t>ACQUIS D’APPRENTISSAGE</w:t>
      </w:r>
    </w:p>
    <w:p>
      <w:pPr>
        <w:numPr>
          <w:ilvl w:val="12"/>
          <w:numId w:val="0"/>
        </w:numPr>
        <w:spacing w:after="120"/>
        <w:ind w:left="2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Pour atteindre le seuil de réussite, l'étudiant sera capable,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284"/>
        <w:rPr>
          <w:rFonts w:ascii="Times New Roman" w:hAnsi="Times New Roman"/>
          <w:i/>
          <w:sz w:val="22"/>
          <w:szCs w:val="22"/>
        </w:rPr>
      </w:pPr>
      <w:bookmarkStart w:id="1" w:name="_Hlk61355921"/>
      <w:r>
        <w:rPr>
          <w:rFonts w:ascii="Times New Roman" w:hAnsi="Times New Roman"/>
          <w:i/>
          <w:sz w:val="22"/>
          <w:szCs w:val="22"/>
        </w:rPr>
        <w:t xml:space="preserve">à partir d’un système logique ou automatique </w:t>
      </w:r>
      <w:r>
        <w:rPr>
          <w:rFonts w:ascii="Times New Roman" w:hAnsi="Times New Roman"/>
          <w:i/>
          <w:sz w:val="22"/>
          <w:szCs w:val="22"/>
          <w:lang w:eastAsia="ar-SA"/>
        </w:rPr>
        <w:t>fourni par le chargé de cours</w:t>
      </w:r>
      <w:r>
        <w:rPr>
          <w:rFonts w:ascii="Times New Roman" w:hAnsi="Times New Roman"/>
          <w:i/>
          <w:sz w:val="22"/>
          <w:szCs w:val="22"/>
        </w:rPr>
        <w:t xml:space="preserve"> et issu de la vie professionnelle,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284"/>
        <w:rPr>
          <w:rFonts w:ascii="Times New Roman" w:hAnsi="Times New Roman"/>
          <w:i/>
          <w:sz w:val="22"/>
          <w:szCs w:val="22"/>
          <w:lang w:eastAsia="ar-SA"/>
        </w:rPr>
      </w:pPr>
      <w:bookmarkStart w:id="2" w:name="_Hlk61441288"/>
      <w:r>
        <w:rPr>
          <w:rFonts w:ascii="Times New Roman" w:hAnsi="Times New Roman"/>
          <w:i/>
          <w:sz w:val="22"/>
          <w:szCs w:val="22"/>
          <w:lang w:eastAsia="ar-SA"/>
        </w:rPr>
        <w:t>dans le respect des règles de sécurité, d’hygiène, environnementales, des processus qualité et de la législation en vigueur,</w:t>
      </w:r>
    </w:p>
    <w:p>
      <w:pPr>
        <w:pStyle w:val="Retraitcorpsdetexte2"/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bookmarkEnd w:id="1"/>
    <w:p>
      <w:pPr>
        <w:numPr>
          <w:ilvl w:val="12"/>
          <w:numId w:val="0"/>
        </w:numPr>
        <w:tabs>
          <w:tab w:val="left" w:pos="284"/>
        </w:tabs>
        <w:spacing w:after="120"/>
        <w:ind w:left="284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en respectant les consignes fournies par le chargé de cours</w:t>
      </w:r>
      <w:r>
        <w:rPr>
          <w:rFonts w:ascii="Times New Roman" w:hAnsi="Times New Roman"/>
          <w:i/>
          <w:color w:val="FF0000"/>
          <w:sz w:val="22"/>
          <w:szCs w:val="22"/>
          <w:lang w:eastAsia="ar-SA"/>
        </w:rPr>
        <w:t>,</w:t>
      </w:r>
    </w:p>
    <w:p>
      <w:pPr>
        <w:suppressAutoHyphens/>
        <w:spacing w:after="120"/>
        <w:ind w:left="284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en utilisant le vocabulaire technique et scientifique adéquat,</w:t>
      </w:r>
    </w:p>
    <w:bookmarkEnd w:id="2"/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d’expliquer le fonctionnement de l'ensemble et le rôle qu'y joue chaque élément ; 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mettre en œuvre, en tout ou en partie, l'application répondant au problème posé en y apportant les ajustements nécessaires ;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d’utiliser un système de supervision dans ses fonctions de base.</w:t>
      </w:r>
    </w:p>
    <w:p>
      <w:pPr>
        <w:numPr>
          <w:ilvl w:val="12"/>
          <w:numId w:val="0"/>
        </w:numPr>
        <w:spacing w:after="120"/>
        <w:ind w:left="2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Pour la détermination du degré de maîtrise, il sera tenu compte des critères suivants : 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d’organisation et de dextérité : la capacité d’organisation de l’environnement spatial et matériel, la maitrise gestuelle,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8"/>
        </w:numPr>
        <w:tabs>
          <w:tab w:val="clear" w:pos="360"/>
          <w:tab w:val="num" w:pos="709"/>
          <w:tab w:val="right" w:pos="8303"/>
        </w:tabs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spacing w:after="120"/>
        <w:rPr>
          <w:rFonts w:ascii="Times New Roman" w:hAnsi="Times New Roman"/>
          <w:sz w:val="22"/>
          <w:szCs w:val="22"/>
        </w:rPr>
      </w:pP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</w:t>
      </w:r>
      <w:r>
        <w:rPr>
          <w:rFonts w:ascii="Times New Roman" w:hAnsi="Times New Roman"/>
          <w:b/>
          <w:sz w:val="22"/>
          <w:szCs w:val="22"/>
        </w:rPr>
        <w:tab/>
        <w:t>PROGRAMME</w:t>
      </w:r>
    </w:p>
    <w:p>
      <w:pPr>
        <w:numPr>
          <w:ilvl w:val="12"/>
          <w:numId w:val="0"/>
        </w:numPr>
        <w:spacing w:after="120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5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à partir de systèmes logiques ou automatiques issus de la vie professionnelle,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5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dans le respect des règles de sécurité, d’hygiène, environnementales, des processus qualité et de la législation en vigueur,</w:t>
      </w:r>
    </w:p>
    <w:p>
      <w:pPr>
        <w:pStyle w:val="Retraitcorpsdetexte2"/>
        <w:spacing w:after="120"/>
        <w:ind w:left="425"/>
        <w:rPr>
          <w:i/>
          <w:sz w:val="22"/>
          <w:szCs w:val="22"/>
        </w:rPr>
      </w:pPr>
      <w:r>
        <w:rPr>
          <w:i/>
          <w:sz w:val="22"/>
          <w:szCs w:val="22"/>
        </w:rPr>
        <w:t>en disposant de la documentation ad hoc en langue française et/ou en langue anglaise,</w:t>
      </w:r>
    </w:p>
    <w:p>
      <w:pPr>
        <w:pStyle w:val="Retraitcorpsdetexte2"/>
        <w:spacing w:after="120"/>
        <w:ind w:left="425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orale et écrite en langue française et/ou en langue anglaise,</w:t>
      </w:r>
    </w:p>
    <w:p>
      <w:pPr>
        <w:pStyle w:val="Retraitcorpsdetexte2"/>
        <w:spacing w:after="120"/>
        <w:ind w:left="425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d’esprit critique,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5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en respectant les consignes fournies par le chargé de cours</w:t>
      </w:r>
      <w:r>
        <w:rPr>
          <w:rFonts w:ascii="Times New Roman" w:hAnsi="Times New Roman"/>
          <w:i/>
          <w:color w:val="FF0000"/>
          <w:sz w:val="22"/>
          <w:szCs w:val="22"/>
          <w:lang w:eastAsia="ar-SA"/>
        </w:rPr>
        <w:t>,</w:t>
      </w:r>
    </w:p>
    <w:p>
      <w:pPr>
        <w:suppressAutoHyphens/>
        <w:spacing w:after="120"/>
        <w:ind w:left="425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en utilisant le vocabulaire technique et scientifique adéquat,</w:t>
      </w:r>
    </w:p>
    <w:p>
      <w:pPr>
        <w:numPr>
          <w:ilvl w:val="12"/>
          <w:numId w:val="0"/>
        </w:numPr>
        <w:tabs>
          <w:tab w:val="left" w:pos="284"/>
        </w:tabs>
        <w:spacing w:after="120"/>
        <w:ind w:left="425"/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 w:val="22"/>
          <w:szCs w:val="22"/>
          <w:lang w:eastAsia="ar-SA"/>
        </w:rPr>
        <w:t>en travaillant de manière individuelle ou en équipe,</w:t>
      </w:r>
    </w:p>
    <w:p>
      <w:pPr>
        <w:numPr>
          <w:ilvl w:val="1"/>
          <w:numId w:val="24"/>
        </w:numPr>
        <w:tabs>
          <w:tab w:val="clear" w:pos="644"/>
          <w:tab w:val="num" w:pos="851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Logique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 convertir des nombres dans divers systèmes de numération ; 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d’effectuer des additions et soustractions en binaire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d’expliquer les fonctions logiques de base et leurs symboles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simplifier des expressions logiques et de résoudre des problèmes simples de logiques combinatoire et séquentielle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d’expliquer le fonctionnement de différentes bascules.</w:t>
      </w:r>
    </w:p>
    <w:p>
      <w:pPr>
        <w:numPr>
          <w:ilvl w:val="1"/>
          <w:numId w:val="24"/>
        </w:numPr>
        <w:tabs>
          <w:tab w:val="clear" w:pos="644"/>
          <w:tab w:val="num" w:pos="851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Laboratoire de systèmes automatisés</w:t>
      </w:r>
    </w:p>
    <w:p>
      <w:pPr>
        <w:pStyle w:val="Retraitcorpsdetexte"/>
        <w:spacing w:after="120"/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au départ de cahiers de charges fonctionnels décrivant un problème simple d'automatisme, en mettant en œuvre des fonctions telles que : temporisation, comptage, comparaison, saut, arrêt d'urgence ...,</w:t>
      </w:r>
    </w:p>
    <w:p>
      <w:pPr>
        <w:pStyle w:val="Retraitcorpsdetexte"/>
        <w:spacing w:after="120"/>
        <w:ind w:left="85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disposant du matériel adéquat (automates, microprocesseurs, microcontrôleurs …),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l'organisation du système automatisé et de son environnement (alimentation, modules d'entrées/sorties, processeur, mémoires...)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d’établir le diagramme fonctionnel (définition, structure, sauts, séquences, modes marche et arrêt…)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d’établir le programme structuré comprenant :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l’écriture et l’encodage,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choix des modules d'entrées/sorties,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raccordements adaptés,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la réalisation des essais, et s’il échoit, les corrections nécessaires ;</w:t>
      </w:r>
    </w:p>
    <w:p>
      <w:pPr>
        <w:numPr>
          <w:ilvl w:val="0"/>
          <w:numId w:val="20"/>
        </w:numPr>
        <w:tabs>
          <w:tab w:val="clear" w:pos="928"/>
          <w:tab w:val="num" w:pos="1134"/>
        </w:tabs>
        <w:autoSpaceDE w:val="0"/>
        <w:autoSpaceDN w:val="0"/>
        <w:spacing w:after="120"/>
        <w:ind w:left="1135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d’utiliser un système de supervision et de visualiser et d’interpréter :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des états de fonctionnements,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états d'un GRAFCET,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des grandeurs analogiques,</w:t>
      </w:r>
    </w:p>
    <w:p>
      <w:pPr>
        <w:numPr>
          <w:ilvl w:val="1"/>
          <w:numId w:val="25"/>
        </w:num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des défauts et alarmes.</w:t>
      </w:r>
    </w:p>
    <w:p>
      <w:pPr>
        <w:tabs>
          <w:tab w:val="left" w:pos="360"/>
        </w:tabs>
        <w:spacing w:after="120"/>
        <w:rPr>
          <w:rFonts w:ascii="Times New Roman" w:hAnsi="Times New Roman"/>
          <w:sz w:val="22"/>
          <w:szCs w:val="22"/>
        </w:rPr>
      </w:pP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</w:t>
      </w:r>
      <w:r>
        <w:rPr>
          <w:rFonts w:ascii="Times New Roman" w:hAnsi="Times New Roman"/>
          <w:b/>
          <w:sz w:val="22"/>
          <w:szCs w:val="22"/>
        </w:rPr>
        <w:tab/>
        <w:t>CONSTITUTION DES GROUPES OU REGROUPEMENT</w:t>
      </w:r>
    </w:p>
    <w:p>
      <w:pPr>
        <w:numPr>
          <w:ilvl w:val="12"/>
          <w:numId w:val="0"/>
        </w:numPr>
        <w:tabs>
          <w:tab w:val="left" w:pos="284"/>
          <w:tab w:val="right" w:pos="4195"/>
        </w:tabs>
        <w:spacing w:after="120"/>
        <w:ind w:left="27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Pour l’activité d’enseignement de « Laboratoire de systèmes informatisés », il est recommandé de ne pas dépasser deux étudiants par poste de travail.</w:t>
      </w:r>
    </w:p>
    <w:p>
      <w:pPr>
        <w:spacing w:after="120"/>
        <w:rPr>
          <w:rFonts w:ascii="Times New Roman" w:hAnsi="Times New Roman"/>
          <w:sz w:val="22"/>
          <w:szCs w:val="22"/>
        </w:rPr>
      </w:pP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6.</w:t>
      </w:r>
      <w:r>
        <w:rPr>
          <w:rFonts w:ascii="Times New Roman" w:hAnsi="Times New Roman"/>
          <w:b/>
          <w:sz w:val="22"/>
          <w:szCs w:val="22"/>
        </w:rPr>
        <w:tab/>
        <w:t>CHARGE(S) DE COURS</w:t>
      </w:r>
    </w:p>
    <w:p>
      <w:pPr>
        <w:numPr>
          <w:ilvl w:val="12"/>
          <w:numId w:val="0"/>
        </w:numPr>
        <w:tabs>
          <w:tab w:val="left" w:pos="270"/>
          <w:tab w:val="right" w:pos="4195"/>
        </w:tabs>
        <w:spacing w:after="120"/>
        <w:ind w:left="27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chargé de cours sera un enseignant ou un expert.</w:t>
      </w:r>
    </w:p>
    <w:p>
      <w:pPr>
        <w:numPr>
          <w:ilvl w:val="12"/>
          <w:numId w:val="0"/>
        </w:numPr>
        <w:tabs>
          <w:tab w:val="left" w:pos="270"/>
          <w:tab w:val="right" w:pos="4195"/>
        </w:tabs>
        <w:spacing w:after="120"/>
        <w:ind w:left="27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tabs>
          <w:tab w:val="left" w:pos="284"/>
        </w:tabs>
        <w:spacing w:after="1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  <w:r>
        <w:rPr>
          <w:rFonts w:ascii="Times New Roman" w:hAnsi="Times New Roman"/>
          <w:b/>
          <w:sz w:val="22"/>
          <w:szCs w:val="22"/>
        </w:rPr>
        <w:lastRenderedPageBreak/>
        <w:t>7.</w:t>
      </w:r>
      <w:r>
        <w:rPr>
          <w:rFonts w:ascii="Times New Roman" w:hAnsi="Times New Roman"/>
          <w:b/>
          <w:sz w:val="22"/>
          <w:szCs w:val="22"/>
        </w:rPr>
        <w:tab/>
        <w:t>HORAIRE MINIMUM DE L’UNITE D’ENSEIGNEMENT</w:t>
      </w:r>
    </w:p>
    <w:p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9"/>
        <w:gridCol w:w="1448"/>
        <w:gridCol w:w="1329"/>
        <w:gridCol w:w="1867"/>
      </w:tblGrid>
      <w:tr>
        <w:trPr>
          <w:cantSplit/>
        </w:trPr>
        <w:tc>
          <w:tcPr>
            <w:tcW w:w="4169" w:type="dxa"/>
            <w:vAlign w:val="center"/>
          </w:tcPr>
          <w:p>
            <w:pPr>
              <w:numPr>
                <w:ilvl w:val="12"/>
                <w:numId w:val="0"/>
              </w:numPr>
              <w:ind w:firstLine="2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48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Classement</w:t>
            </w:r>
          </w:p>
        </w:tc>
        <w:tc>
          <w:tcPr>
            <w:tcW w:w="1329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</w:tc>
        <w:tc>
          <w:tcPr>
            <w:tcW w:w="1867" w:type="dxa"/>
            <w:vAlign w:val="center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4169" w:type="dxa"/>
          </w:tcPr>
          <w:p>
            <w:pPr>
              <w:numPr>
                <w:ilvl w:val="12"/>
                <w:numId w:val="0"/>
              </w:numPr>
              <w:ind w:left="497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Logique</w:t>
            </w:r>
          </w:p>
        </w:tc>
        <w:tc>
          <w:tcPr>
            <w:tcW w:w="1448" w:type="dxa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329" w:type="dxa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867" w:type="dxa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</w:trPr>
        <w:tc>
          <w:tcPr>
            <w:tcW w:w="4169" w:type="dxa"/>
          </w:tcPr>
          <w:p>
            <w:pPr>
              <w:numPr>
                <w:ilvl w:val="12"/>
                <w:numId w:val="0"/>
              </w:numPr>
              <w:ind w:left="497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Laboratoire de systèmes automatisés</w:t>
            </w:r>
          </w:p>
        </w:tc>
        <w:tc>
          <w:tcPr>
            <w:tcW w:w="1448" w:type="dxa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329" w:type="dxa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867" w:type="dxa"/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</w:tr>
      <w:tr>
        <w:trPr>
          <w:cantSplit/>
        </w:trPr>
        <w:tc>
          <w:tcPr>
            <w:tcW w:w="5617" w:type="dxa"/>
            <w:gridSpan w:val="2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71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329" w:type="dxa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867" w:type="dxa"/>
            <w:tcBorders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946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</w:tc>
        <w:tc>
          <w:tcPr>
            <w:tcW w:w="1867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</w:t>
            </w:r>
          </w:p>
        </w:tc>
      </w:tr>
      <w:tr>
        <w:trPr>
          <w:cantSplit/>
        </w:trPr>
        <w:tc>
          <w:tcPr>
            <w:tcW w:w="6946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d’ECTS</w:t>
            </w:r>
          </w:p>
        </w:tc>
        <w:tc>
          <w:tcPr>
            <w:tcW w:w="1867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284" w:hanging="28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</w:tr>
    </w:tbl>
    <w:p>
      <w:pPr>
        <w:ind w:left="284"/>
        <w:rPr>
          <w:rFonts w:ascii="Times New Roman" w:hAnsi="Times New Roman"/>
          <w:sz w:val="22"/>
          <w:szCs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color w:val="002060"/>
        <w:sz w:val="18"/>
        <w:szCs w:val="18"/>
      </w:rPr>
    </w:pPr>
    <w:r>
      <w:rPr>
        <w:rFonts w:ascii="Times New Roman" w:hAnsi="Times New Roman"/>
        <w:color w:val="002060"/>
        <w:sz w:val="18"/>
        <w:szCs w:val="18"/>
      </w:rPr>
      <w:t>Logique et automatisme</w:t>
    </w:r>
    <w:r>
      <w:rPr>
        <w:rFonts w:ascii="Times New Roman" w:hAnsi="Times New Roman"/>
        <w:color w:val="002060"/>
        <w:sz w:val="18"/>
        <w:szCs w:val="18"/>
      </w:rPr>
      <w:tab/>
    </w:r>
    <w:r>
      <w:rPr>
        <w:rFonts w:ascii="Times New Roman" w:hAnsi="Times New Roman"/>
        <w:color w:val="002060"/>
        <w:sz w:val="18"/>
        <w:szCs w:val="18"/>
      </w:rPr>
      <w:tab/>
      <w:t xml:space="preserve">Page </w:t>
    </w:r>
    <w:r>
      <w:rPr>
        <w:rFonts w:ascii="Times New Roman" w:hAnsi="Times New Roman"/>
        <w:bCs/>
        <w:color w:val="002060"/>
        <w:sz w:val="18"/>
        <w:szCs w:val="18"/>
      </w:rPr>
      <w:fldChar w:fldCharType="begin"/>
    </w:r>
    <w:r>
      <w:rPr>
        <w:rFonts w:ascii="Times New Roman" w:hAnsi="Times New Roman"/>
        <w:bCs/>
        <w:color w:val="002060"/>
        <w:sz w:val="18"/>
        <w:szCs w:val="18"/>
      </w:rPr>
      <w:instrText>PAGE</w:instrText>
    </w:r>
    <w:r>
      <w:rPr>
        <w:rFonts w:ascii="Times New Roman" w:hAnsi="Times New Roman"/>
        <w:bCs/>
        <w:color w:val="002060"/>
        <w:sz w:val="18"/>
        <w:szCs w:val="18"/>
      </w:rPr>
      <w:fldChar w:fldCharType="separate"/>
    </w:r>
    <w:r>
      <w:rPr>
        <w:rFonts w:ascii="Times New Roman" w:hAnsi="Times New Roman"/>
        <w:bCs/>
        <w:noProof/>
        <w:color w:val="002060"/>
        <w:sz w:val="18"/>
        <w:szCs w:val="18"/>
      </w:rPr>
      <w:t>2</w:t>
    </w:r>
    <w:r>
      <w:rPr>
        <w:rFonts w:ascii="Times New Roman" w:hAnsi="Times New Roman"/>
        <w:bCs/>
        <w:color w:val="002060"/>
        <w:sz w:val="18"/>
        <w:szCs w:val="18"/>
      </w:rPr>
      <w:fldChar w:fldCharType="end"/>
    </w:r>
    <w:r>
      <w:rPr>
        <w:rFonts w:ascii="Times New Roman" w:hAnsi="Times New Roman"/>
        <w:color w:val="002060"/>
        <w:sz w:val="18"/>
        <w:szCs w:val="18"/>
      </w:rPr>
      <w:t xml:space="preserve"> sur </w:t>
    </w:r>
    <w:r>
      <w:rPr>
        <w:rFonts w:ascii="Times New Roman" w:hAnsi="Times New Roman"/>
        <w:bCs/>
        <w:color w:val="002060"/>
        <w:sz w:val="18"/>
        <w:szCs w:val="18"/>
      </w:rPr>
      <w:fldChar w:fldCharType="begin"/>
    </w:r>
    <w:r>
      <w:rPr>
        <w:rFonts w:ascii="Times New Roman" w:hAnsi="Times New Roman"/>
        <w:bCs/>
        <w:color w:val="002060"/>
        <w:sz w:val="18"/>
        <w:szCs w:val="18"/>
      </w:rPr>
      <w:instrText>NUMPAGES</w:instrText>
    </w:r>
    <w:r>
      <w:rPr>
        <w:rFonts w:ascii="Times New Roman" w:hAnsi="Times New Roman"/>
        <w:bCs/>
        <w:color w:val="002060"/>
        <w:sz w:val="18"/>
        <w:szCs w:val="18"/>
      </w:rPr>
      <w:fldChar w:fldCharType="separate"/>
    </w:r>
    <w:r>
      <w:rPr>
        <w:rFonts w:ascii="Times New Roman" w:hAnsi="Times New Roman"/>
        <w:bCs/>
        <w:noProof/>
        <w:color w:val="002060"/>
        <w:sz w:val="18"/>
        <w:szCs w:val="18"/>
      </w:rPr>
      <w:t>5</w:t>
    </w:r>
    <w:r>
      <w:rPr>
        <w:rFonts w:ascii="Times New Roman" w:hAnsi="Times New Roman"/>
        <w:bCs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5E49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7D088C"/>
    <w:multiLevelType w:val="singleLevel"/>
    <w:tmpl w:val="3DAC3F76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9E01AB8"/>
    <w:multiLevelType w:val="singleLevel"/>
    <w:tmpl w:val="79369EB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4" w15:restartNumberingAfterBreak="0">
    <w:nsid w:val="0C3210B6"/>
    <w:multiLevelType w:val="multilevel"/>
    <w:tmpl w:val="B336BF2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 w15:restartNumberingAfterBreak="0">
    <w:nsid w:val="189A04D9"/>
    <w:multiLevelType w:val="multilevel"/>
    <w:tmpl w:val="65609A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6" w15:restartNumberingAfterBreak="0">
    <w:nsid w:val="22776324"/>
    <w:multiLevelType w:val="singleLevel"/>
    <w:tmpl w:val="D03AE64A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231F06A2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934032"/>
    <w:multiLevelType w:val="multilevel"/>
    <w:tmpl w:val="B336BF2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 w15:restartNumberingAfterBreak="0">
    <w:nsid w:val="2DC103D3"/>
    <w:multiLevelType w:val="singleLevel"/>
    <w:tmpl w:val="61F437E0"/>
    <w:lvl w:ilvl="0">
      <w:start w:val="1"/>
      <w:numFmt w:val="bullet"/>
      <w:lvlText w:val="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  <w:sz w:val="22"/>
      </w:rPr>
    </w:lvl>
  </w:abstractNum>
  <w:abstractNum w:abstractNumId="10" w15:restartNumberingAfterBreak="0">
    <w:nsid w:val="3BDA5100"/>
    <w:multiLevelType w:val="singleLevel"/>
    <w:tmpl w:val="379EFE6E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2"/>
      </w:rPr>
    </w:lvl>
  </w:abstractNum>
  <w:abstractNum w:abstractNumId="11" w15:restartNumberingAfterBreak="0">
    <w:nsid w:val="3CE96D5B"/>
    <w:multiLevelType w:val="hybridMultilevel"/>
    <w:tmpl w:val="31F02A62"/>
    <w:lvl w:ilvl="0" w:tplc="BDFE5CE6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86282"/>
    <w:multiLevelType w:val="hybridMultilevel"/>
    <w:tmpl w:val="9D5AFDEA"/>
    <w:lvl w:ilvl="0" w:tplc="76F29FCA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C749D"/>
    <w:multiLevelType w:val="hybridMultilevel"/>
    <w:tmpl w:val="EBC80064"/>
    <w:lvl w:ilvl="0" w:tplc="61F437E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AD0557A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8C36ECF"/>
    <w:multiLevelType w:val="hybridMultilevel"/>
    <w:tmpl w:val="2C7A953E"/>
    <w:lvl w:ilvl="0" w:tplc="D5E0949C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6"/>
      </w:rPr>
    </w:lvl>
    <w:lvl w:ilvl="1" w:tplc="D5E0949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E53F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4CE704F"/>
    <w:multiLevelType w:val="singleLevel"/>
    <w:tmpl w:val="20967C08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18"/>
      </w:rPr>
    </w:lvl>
  </w:abstractNum>
  <w:abstractNum w:abstractNumId="18" w15:restartNumberingAfterBreak="0">
    <w:nsid w:val="67AE5ADC"/>
    <w:multiLevelType w:val="multilevel"/>
    <w:tmpl w:val="C7049ED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A9A5B75"/>
    <w:multiLevelType w:val="hybridMultilevel"/>
    <w:tmpl w:val="A586B61C"/>
    <w:lvl w:ilvl="0" w:tplc="719E4136">
      <w:numFmt w:val="bullet"/>
      <w:lvlText w:val=""/>
      <w:lvlJc w:val="left"/>
      <w:pPr>
        <w:tabs>
          <w:tab w:val="num" w:pos="1161"/>
        </w:tabs>
        <w:ind w:left="1161" w:hanging="453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9D52A39"/>
    <w:multiLevelType w:val="multilevel"/>
    <w:tmpl w:val="B336BF2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1" w15:restartNumberingAfterBreak="0">
    <w:nsid w:val="7CFA588C"/>
    <w:multiLevelType w:val="hybridMultilevel"/>
    <w:tmpl w:val="7F848652"/>
    <w:lvl w:ilvl="0" w:tplc="5DD88FC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B4523C00">
      <w:start w:val="8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0304A6"/>
    <w:multiLevelType w:val="hybridMultilevel"/>
    <w:tmpl w:val="0D6E937E"/>
    <w:lvl w:ilvl="0" w:tplc="FF52AF98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964"/>
        <w:lvlJc w:val="left"/>
        <w:pPr>
          <w:ind w:left="1248" w:hanging="964"/>
        </w:pPr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17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850" w:hanging="680"/>
        </w:pPr>
        <w:rPr>
          <w:rFonts w:ascii="Symbol" w:hAnsi="Symbol" w:hint="default"/>
          <w:sz w:val="22"/>
        </w:rPr>
      </w:lvl>
    </w:lvlOverride>
  </w:num>
  <w:num w:numId="10">
    <w:abstractNumId w:val="7"/>
  </w:num>
  <w:num w:numId="11">
    <w:abstractNumId w:val="2"/>
  </w:num>
  <w:num w:numId="12">
    <w:abstractNumId w:val="18"/>
  </w:num>
  <w:num w:numId="13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850" w:hanging="680"/>
        </w:pPr>
        <w:rPr>
          <w:rFonts w:ascii="Symbol" w:hAnsi="Symbol" w:hint="default"/>
          <w:sz w:val="22"/>
        </w:rPr>
      </w:lvl>
    </w:lvlOverride>
  </w:num>
  <w:num w:numId="14">
    <w:abstractNumId w:val="9"/>
  </w:num>
  <w:num w:numId="15">
    <w:abstractNumId w:val="13"/>
  </w:num>
  <w:num w:numId="16">
    <w:abstractNumId w:val="10"/>
  </w:num>
  <w:num w:numId="17">
    <w:abstractNumId w:val="21"/>
  </w:num>
  <w:num w:numId="18">
    <w:abstractNumId w:val="16"/>
  </w:num>
  <w:num w:numId="19">
    <w:abstractNumId w:val="22"/>
  </w:num>
  <w:num w:numId="20">
    <w:abstractNumId w:val="11"/>
  </w:num>
  <w:num w:numId="21">
    <w:abstractNumId w:val="4"/>
  </w:num>
  <w:num w:numId="22">
    <w:abstractNumId w:val="8"/>
  </w:num>
  <w:num w:numId="23">
    <w:abstractNumId w:val="20"/>
  </w:num>
  <w:num w:numId="24">
    <w:abstractNumId w:val="5"/>
  </w:num>
  <w:num w:numId="25">
    <w:abstractNumId w:val="15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A0C400-1EC0-4A15-AB5B-CDC0998A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Helvetica" w:hAnsi="Helvetica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outlineLvl w:val="0"/>
    </w:pPr>
    <w:rPr>
      <w:rFonts w:ascii="Times New Roman" w:hAnsi="Times New Roman"/>
      <w:i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Times New Roman" w:hAnsi="Times New Roman"/>
      <w:sz w:val="22"/>
    </w:rPr>
  </w:style>
  <w:style w:type="paragraph" w:customStyle="1" w:styleId="Texte">
    <w:name w:val="Texte"/>
    <w:basedOn w:val="Normal"/>
    <w:pPr>
      <w:jc w:val="left"/>
    </w:pPr>
    <w:rPr>
      <w:rFonts w:ascii="Courier PS" w:hAnsi="Courier PS"/>
      <w:shadow/>
      <w:noProof/>
    </w:rPr>
  </w:style>
  <w:style w:type="paragraph" w:styleId="Corpsdetexte2">
    <w:name w:val="Body Text 2"/>
    <w:basedOn w:val="Normal"/>
    <w:pPr>
      <w:jc w:val="center"/>
    </w:pPr>
    <w:rPr>
      <w:rFonts w:ascii="Times New Roman" w:hAnsi="Times New Roman"/>
      <w:b/>
      <w:caps/>
      <w:sz w:val="32"/>
    </w:rPr>
  </w:style>
  <w:style w:type="paragraph" w:styleId="Corpsdetexte3">
    <w:name w:val="Body Text 3"/>
    <w:basedOn w:val="Normal"/>
    <w:pPr>
      <w:jc w:val="center"/>
    </w:pPr>
    <w:rPr>
      <w:rFonts w:ascii="Times New Roman" w:hAnsi="Times New Roman"/>
      <w:b/>
      <w:caps/>
      <w:sz w:val="28"/>
    </w:rPr>
  </w:style>
  <w:style w:type="paragraph" w:styleId="Retraitcorpsdetexte">
    <w:name w:val="Body Text Indent"/>
    <w:basedOn w:val="Normal"/>
    <w:pPr>
      <w:numPr>
        <w:ilvl w:val="12"/>
      </w:numPr>
      <w:ind w:left="709"/>
      <w:jc w:val="left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709"/>
        <w:tab w:val="right" w:pos="2926"/>
      </w:tabs>
      <w:ind w:left="709"/>
    </w:pPr>
    <w:rPr>
      <w:rFonts w:ascii="Times New Roman" w:hAnsi="Times New Roman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"/>
    <w:uiPriority w:val="1"/>
    <w:rPr>
      <w:rFonts w:ascii="Calibri" w:hAnsi="Calibri"/>
      <w:sz w:val="22"/>
      <w:szCs w:val="22"/>
      <w:lang w:val="fr-FR" w:eastAsia="en-US" w:bidi="ar-SA"/>
    </w:rPr>
  </w:style>
  <w:style w:type="character" w:customStyle="1" w:styleId="En-tteCar">
    <w:name w:val="En-tête Car"/>
    <w:link w:val="En-tte"/>
    <w:uiPriority w:val="99"/>
    <w:rPr>
      <w:rFonts w:ascii="Helvetica" w:hAnsi="Helvetica"/>
      <w:lang w:val="fr-FR" w:eastAsia="fr-FR"/>
    </w:rPr>
  </w:style>
  <w:style w:type="character" w:customStyle="1" w:styleId="PieddepageCar">
    <w:name w:val="Pied de page Car"/>
    <w:link w:val="Pieddepage"/>
    <w:uiPriority w:val="99"/>
    <w:rPr>
      <w:rFonts w:ascii="Helvetica" w:hAnsi="Helvetica"/>
      <w:lang w:val="fr-FR" w:eastAsia="fr-FR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character" w:styleId="Numrodepage">
    <w:name w:val="page number"/>
    <w:basedOn w:val="Policepardfaut"/>
  </w:style>
  <w:style w:type="paragraph" w:customStyle="1" w:styleId="2">
    <w:name w:val="2"/>
    <w:basedOn w:val="Normal"/>
    <w:pPr>
      <w:ind w:left="709"/>
      <w:jc w:val="left"/>
    </w:pPr>
    <w:rPr>
      <w:rFonts w:ascii="Courier New" w:hAnsi="Courier New"/>
      <w:sz w:val="22"/>
    </w:rPr>
  </w:style>
  <w:style w:type="paragraph" w:styleId="Paragraphedeliste">
    <w:name w:val="List Paragraph"/>
    <w:basedOn w:val="Normal"/>
    <w:uiPriority w:val="34"/>
    <w:qFormat/>
    <w:pPr>
      <w:suppressAutoHyphens/>
      <w:ind w:left="720"/>
      <w:jc w:val="left"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98A41-A795-4236-83E7-3DDAEC20D101}"/>
</file>

<file path=customXml/itemProps2.xml><?xml version="1.0" encoding="utf-8"?>
<ds:datastoreItem xmlns:ds="http://schemas.openxmlformats.org/officeDocument/2006/customXml" ds:itemID="{6201EF3D-16CE-419B-B7D8-42F01C67E1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1068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</vt:lpstr>
    </vt:vector>
  </TitlesOfParts>
  <Company>Institut Saint-Laurent</Company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</dc:title>
  <dc:subject/>
  <dc:creator>C.P.F.B.</dc:creator>
  <cp:keywords/>
  <cp:lastModifiedBy>goulet02</cp:lastModifiedBy>
  <cp:revision>4</cp:revision>
  <cp:lastPrinted>2005-05-11T20:07:00Z</cp:lastPrinted>
  <dcterms:created xsi:type="dcterms:W3CDTF">2022-12-09T09:20:00Z</dcterms:created>
  <dcterms:modified xsi:type="dcterms:W3CDTF">2023-09-08T12:31:00Z</dcterms:modified>
</cp:coreProperties>
</file>