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outlineLvl w:val="0"/>
        <w:rPr>
          <w:b/>
          <w:sz w:val="22"/>
        </w:rPr>
      </w:pP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2</w:t>
      </w:r>
    </w:p>
    <w:p>
      <w:pPr>
        <w:jc w:val="center"/>
      </w:pPr>
    </w:p>
    <w:p>
      <w:pPr>
        <w:jc w:val="center"/>
      </w:pPr>
    </w:p>
    <w:p>
      <w:pPr>
        <w:pStyle w:val="Titre2"/>
        <w:jc w:val="center"/>
        <w:rPr>
          <w:rFonts w:cs="Mangal"/>
        </w:rPr>
      </w:pPr>
      <w:r>
        <w:rPr>
          <w:rFonts w:cs="Mangal"/>
        </w:rPr>
        <w:t>ENSEIGNEMENT SUPERIEUR DE TYPE COURT</w:t>
      </w:r>
    </w:p>
    <w:p>
      <w:pPr>
        <w:spacing w:before="60"/>
        <w:jc w:val="center"/>
      </w:pPr>
      <w:r>
        <w:rPr>
          <w:rFonts w:ascii="Tahoma" w:hAnsi="Tahoma" w:cs="Tahoma"/>
        </w:rPr>
        <w:t>DOMAINE : LANGUES, LETTRES ET TRADUCTOLOGIE</w:t>
      </w: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73XX92U32D2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p>
    <w:p>
      <w:pPr>
        <w:jc w:val="center"/>
        <w:rPr>
          <w:b/>
        </w:rPr>
      </w:pPr>
      <w:r>
        <w:rPr>
          <w:b/>
        </w:rPr>
        <w:t>sur avis conforme du Conseil général</w:t>
      </w:r>
    </w:p>
    <w:p>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2</w:t>
            </w:r>
          </w:p>
          <w:p/>
          <w:p>
            <w:pPr>
              <w:pStyle w:val="Titre2"/>
              <w:jc w:val="center"/>
              <w:rPr>
                <w:rFonts w:cs="Mangal"/>
              </w:rPr>
            </w:pPr>
            <w:r>
              <w:t>ENSEIGNEMENT SUPERIEUR DE TYPE COURT</w:t>
            </w:r>
          </w:p>
          <w:p>
            <w:pPr>
              <w:rPr>
                <w:b/>
                <w:sz w:val="28"/>
              </w:rPr>
            </w:pPr>
          </w:p>
        </w:tc>
      </w:tr>
    </w:tbl>
    <w:p/>
    <w:p>
      <w:pPr>
        <w:rPr>
          <w:color w:val="99CC00"/>
        </w:rPr>
      </w:pPr>
    </w:p>
    <w:p/>
    <w:p>
      <w:pPr>
        <w:numPr>
          <w:ilvl w:val="0"/>
          <w:numId w:val="17"/>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7"/>
        </w:numPr>
        <w:rPr>
          <w:b/>
          <w:sz w:val="22"/>
        </w:rPr>
      </w:pPr>
      <w:r>
        <w:rPr>
          <w:b/>
          <w:sz w:val="22"/>
        </w:rPr>
        <w:t>CAPACITES PREALABLES REQUISES</w:t>
      </w:r>
    </w:p>
    <w:p>
      <w:pPr>
        <w:numPr>
          <w:ilvl w:val="12"/>
          <w:numId w:val="0"/>
        </w:numPr>
        <w:ind w:left="426"/>
        <w:jc w:val="both"/>
        <w:rPr>
          <w:rFonts w:cs="Mangal"/>
          <w:sz w:val="22"/>
          <w:szCs w:val="22"/>
        </w:rPr>
      </w:pPr>
    </w:p>
    <w:p>
      <w:pPr>
        <w:rPr>
          <w:sz w:val="22"/>
        </w:rPr>
      </w:pPr>
    </w:p>
    <w:p>
      <w:pPr>
        <w:numPr>
          <w:ilvl w:val="1"/>
          <w:numId w:val="6"/>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en relation avec les notions, les fonctions et les champs thématiques abordés.</w:t>
      </w:r>
    </w:p>
    <w:p>
      <w:pPr>
        <w:ind w:left="284"/>
        <w:jc w:val="both"/>
        <w:rPr>
          <w:sz w:val="22"/>
        </w:rPr>
      </w:pPr>
    </w:p>
    <w:p>
      <w:pPr>
        <w:spacing w:before="120"/>
        <w:ind w:left="284"/>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8"/>
        </w:numPr>
        <w:ind w:left="1080" w:hanging="371"/>
        <w:jc w:val="both"/>
        <w:rPr>
          <w:sz w:val="22"/>
          <w:szCs w:val="22"/>
        </w:rPr>
      </w:pPr>
      <w:r>
        <w:rPr>
          <w:sz w:val="22"/>
          <w:szCs w:val="22"/>
        </w:rPr>
        <w:t>en compréhension de l'oral :</w:t>
      </w:r>
    </w:p>
    <w:p>
      <w:pPr>
        <w:ind w:left="709"/>
        <w:jc w:val="both"/>
        <w:rPr>
          <w:sz w:val="22"/>
          <w:szCs w:val="22"/>
        </w:rPr>
      </w:pPr>
    </w:p>
    <w:p>
      <w:pPr>
        <w:pStyle w:val="Paragraphedeliste"/>
        <w:numPr>
          <w:ilvl w:val="0"/>
          <w:numId w:val="39"/>
        </w:numPr>
        <w:jc w:val="both"/>
        <w:rPr>
          <w:sz w:val="22"/>
          <w:szCs w:val="22"/>
        </w:rPr>
      </w:pPr>
      <w:r>
        <w:rPr>
          <w:sz w:val="22"/>
          <w:szCs w:val="22"/>
        </w:rPr>
        <w:t>comprendre l'essentiel d'un message simple exprimé dans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pPr>
        <w:ind w:left="851"/>
        <w:jc w:val="both"/>
        <w:rPr>
          <w:color w:val="FF0000"/>
          <w:sz w:val="22"/>
          <w:szCs w:val="22"/>
        </w:rPr>
      </w:pPr>
    </w:p>
    <w:p>
      <w:pPr>
        <w:numPr>
          <w:ilvl w:val="0"/>
          <w:numId w:val="8"/>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39"/>
        </w:numPr>
        <w:jc w:val="both"/>
        <w:rPr>
          <w:sz w:val="22"/>
          <w:szCs w:val="22"/>
        </w:rPr>
      </w:pPr>
      <w:r>
        <w:rPr>
          <w:sz w:val="22"/>
          <w:szCs w:val="22"/>
        </w:rPr>
        <w:t>comprendre globalement un message écrit court et simple utilisé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8"/>
        </w:numPr>
        <w:ind w:left="993" w:hanging="284"/>
        <w:jc w:val="both"/>
        <w:rPr>
          <w:sz w:val="22"/>
          <w:szCs w:val="22"/>
        </w:rPr>
      </w:pPr>
      <w:r>
        <w:rPr>
          <w:sz w:val="22"/>
          <w:szCs w:val="22"/>
        </w:rPr>
        <w:t>en interaction orale :</w:t>
      </w:r>
    </w:p>
    <w:p>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spacing w:before="120" w:after="120"/>
        <w:ind w:left="720"/>
        <w:jc w:val="both"/>
        <w:rPr>
          <w:i/>
          <w:sz w:val="22"/>
          <w:szCs w:val="22"/>
        </w:rPr>
      </w:pPr>
      <w:r>
        <w:rPr>
          <w:i/>
          <w:sz w:val="22"/>
          <w:szCs w:val="22"/>
        </w:rPr>
        <w:t>en utilisant des structures simples avec une prononciation et une intonation qui n’entravent pas la communication.</w:t>
      </w:r>
    </w:p>
    <w:p>
      <w:pPr>
        <w:numPr>
          <w:ilvl w:val="0"/>
          <w:numId w:val="8"/>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rPr>
      </w:pPr>
      <w:r>
        <w:rPr>
          <w:i/>
          <w:sz w:val="22"/>
          <w:szCs w:val="22"/>
        </w:rPr>
        <w:t>avec une prononciation et une intonation qui n’entravent pas la communication, en utilisant des structures simples et des connecteurs élémentaires et en respectant la morphosyntaxe.</w:t>
      </w:r>
      <w:r>
        <w:rPr>
          <w:i/>
          <w:sz w:val="22"/>
        </w:rPr>
        <w:t xml:space="preserve"> </w:t>
      </w:r>
    </w:p>
    <w:p>
      <w:pPr>
        <w:spacing w:before="120" w:after="120"/>
        <w:ind w:left="709"/>
        <w:jc w:val="both"/>
        <w:rPr>
          <w:i/>
          <w:sz w:val="22"/>
          <w:szCs w:val="22"/>
        </w:rPr>
      </w:pPr>
    </w:p>
    <w:p>
      <w:pPr>
        <w:spacing w:before="120" w:after="120"/>
        <w:ind w:left="709"/>
        <w:jc w:val="both"/>
        <w:rPr>
          <w:i/>
          <w:sz w:val="22"/>
          <w:szCs w:val="22"/>
        </w:rPr>
      </w:pPr>
    </w:p>
    <w:p>
      <w:pPr>
        <w:spacing w:before="120" w:after="120"/>
        <w:ind w:left="709"/>
        <w:jc w:val="both"/>
        <w:rPr>
          <w:i/>
          <w:sz w:val="22"/>
          <w:szCs w:val="22"/>
        </w:rPr>
      </w:pPr>
    </w:p>
    <w:p>
      <w:pPr>
        <w:numPr>
          <w:ilvl w:val="0"/>
          <w:numId w:val="8"/>
        </w:numPr>
        <w:ind w:left="993" w:hanging="284"/>
        <w:jc w:val="both"/>
        <w:rPr>
          <w:sz w:val="22"/>
          <w:szCs w:val="22"/>
        </w:rPr>
      </w:pPr>
      <w:r>
        <w:rPr>
          <w:sz w:val="22"/>
          <w:szCs w:val="22"/>
        </w:rPr>
        <w:lastRenderedPageBreak/>
        <w:t>en production écrite :</w:t>
      </w:r>
    </w:p>
    <w:p>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120"/>
        <w:ind w:left="709"/>
        <w:jc w:val="both"/>
        <w:rPr>
          <w:i/>
          <w:sz w:val="22"/>
        </w:rPr>
      </w:pPr>
      <w:r>
        <w:rPr>
          <w:i/>
          <w:sz w:val="22"/>
          <w:szCs w:val="22"/>
        </w:rPr>
        <w:t>en utilisant des structures simples et des connecteurs élémentaires et en respectant la morphosyntaxe.</w:t>
      </w:r>
      <w:r>
        <w:rPr>
          <w:i/>
          <w:sz w:val="22"/>
        </w:rPr>
        <w:t xml:space="preserve"> </w:t>
      </w:r>
    </w:p>
    <w:p>
      <w:pPr>
        <w:rPr>
          <w:sz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jc w:val="both"/>
        <w:rPr>
          <w:rFonts w:cs="Mangal"/>
          <w:sz w:val="22"/>
          <w:szCs w:val="22"/>
        </w:rPr>
      </w:pPr>
    </w:p>
    <w:p>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pPr>
        <w:pStyle w:val="Corpsdetexte2"/>
        <w:spacing w:after="0" w:line="240" w:lineRule="auto"/>
        <w:ind w:left="360"/>
        <w:rPr>
          <w:rFonts w:cs="Mangal"/>
          <w:spacing w:val="-2"/>
          <w:sz w:val="22"/>
          <w:szCs w:val="22"/>
        </w:rPr>
      </w:pPr>
    </w:p>
    <w:p>
      <w:pPr>
        <w:pStyle w:val="Corpsdetexte2"/>
        <w:spacing w:after="0" w:line="240" w:lineRule="auto"/>
        <w:ind w:left="360"/>
        <w:rPr>
          <w:rFonts w:cs="Mangal"/>
          <w:spacing w:val="-2"/>
          <w:sz w:val="22"/>
          <w:szCs w:val="22"/>
        </w:rPr>
      </w:pPr>
    </w:p>
    <w:p>
      <w:pPr>
        <w:numPr>
          <w:ilvl w:val="0"/>
          <w:numId w:val="17"/>
        </w:numPr>
        <w:rPr>
          <w:b/>
          <w:sz w:val="22"/>
        </w:rPr>
      </w:pPr>
      <w:r>
        <w:rPr>
          <w:b/>
          <w:sz w:val="22"/>
        </w:rPr>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5"/>
        </w:numPr>
        <w:spacing w:before="120"/>
        <w:ind w:left="993" w:hanging="284"/>
        <w:jc w:val="both"/>
        <w:textAlignment w:val="auto"/>
        <w:rPr>
          <w:sz w:val="22"/>
          <w:szCs w:val="22"/>
        </w:rPr>
      </w:pPr>
      <w:r>
        <w:rPr>
          <w:sz w:val="22"/>
          <w:szCs w:val="22"/>
        </w:rPr>
        <w:t>du degré de pertinence de la production,</w:t>
      </w:r>
    </w:p>
    <w:p>
      <w:pPr>
        <w:numPr>
          <w:ilvl w:val="0"/>
          <w:numId w:val="5"/>
        </w:numPr>
        <w:spacing w:before="120"/>
        <w:ind w:left="993" w:hanging="284"/>
        <w:jc w:val="both"/>
        <w:textAlignment w:val="auto"/>
        <w:rPr>
          <w:sz w:val="22"/>
          <w:szCs w:val="22"/>
        </w:rPr>
      </w:pPr>
      <w:r>
        <w:rPr>
          <w:sz w:val="22"/>
          <w:szCs w:val="22"/>
        </w:rPr>
        <w:t>du degré de compréhension,</w:t>
      </w:r>
    </w:p>
    <w:p>
      <w:pPr>
        <w:numPr>
          <w:ilvl w:val="0"/>
          <w:numId w:val="5"/>
        </w:numPr>
        <w:spacing w:before="120"/>
        <w:ind w:left="993" w:hanging="284"/>
        <w:jc w:val="both"/>
        <w:textAlignment w:val="auto"/>
        <w:rPr>
          <w:sz w:val="22"/>
          <w:szCs w:val="22"/>
        </w:rPr>
      </w:pPr>
      <w:r>
        <w:rPr>
          <w:sz w:val="22"/>
          <w:szCs w:val="22"/>
        </w:rPr>
        <w:t>de l'étendue du répertoire lexical,</w:t>
      </w:r>
    </w:p>
    <w:p>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5"/>
        </w:numPr>
        <w:spacing w:before="120"/>
        <w:ind w:left="993" w:hanging="284"/>
        <w:jc w:val="both"/>
        <w:textAlignment w:val="auto"/>
        <w:rPr>
          <w:sz w:val="22"/>
          <w:szCs w:val="22"/>
        </w:rPr>
      </w:pPr>
      <w:r>
        <w:rPr>
          <w:sz w:val="22"/>
          <w:szCs w:val="22"/>
        </w:rPr>
        <w:t>de la capacité à s’</w:t>
      </w:r>
      <w:proofErr w:type="spellStart"/>
      <w:r>
        <w:rPr>
          <w:sz w:val="22"/>
          <w:szCs w:val="22"/>
        </w:rPr>
        <w:t>auto-corriger</w:t>
      </w:r>
      <w:proofErr w:type="spellEnd"/>
      <w:r>
        <w:rPr>
          <w:sz w:val="22"/>
          <w:szCs w:val="22"/>
        </w:rPr>
        <w:t>,</w:t>
      </w:r>
    </w:p>
    <w:p>
      <w:pPr>
        <w:numPr>
          <w:ilvl w:val="0"/>
          <w:numId w:val="5"/>
        </w:numPr>
        <w:spacing w:before="120"/>
        <w:ind w:left="993" w:hanging="284"/>
        <w:jc w:val="both"/>
        <w:textAlignment w:val="auto"/>
        <w:rPr>
          <w:sz w:val="22"/>
          <w:szCs w:val="22"/>
        </w:rPr>
      </w:pPr>
      <w:r>
        <w:rPr>
          <w:sz w:val="22"/>
          <w:szCs w:val="22"/>
        </w:rPr>
        <w:t xml:space="preserve">du degré de clarté de la prononciation, </w:t>
      </w:r>
    </w:p>
    <w:p>
      <w:pPr>
        <w:numPr>
          <w:ilvl w:val="0"/>
          <w:numId w:val="5"/>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5"/>
        </w:numPr>
        <w:spacing w:before="120"/>
        <w:ind w:left="993" w:hanging="284"/>
        <w:jc w:val="both"/>
        <w:textAlignment w:val="auto"/>
        <w:rPr>
          <w:sz w:val="22"/>
          <w:szCs w:val="22"/>
        </w:rPr>
      </w:pPr>
      <w:r>
        <w:rPr>
          <w:sz w:val="22"/>
          <w:szCs w:val="22"/>
        </w:rPr>
        <w:t xml:space="preserve">de l’efficacité de l’attitude communicative, </w:t>
      </w:r>
    </w:p>
    <w:p>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5"/>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5"/>
        </w:numPr>
        <w:spacing w:before="120"/>
        <w:ind w:left="993" w:hanging="284"/>
        <w:jc w:val="both"/>
        <w:textAlignment w:val="auto"/>
        <w:rPr>
          <w:sz w:val="22"/>
          <w:szCs w:val="22"/>
        </w:rPr>
      </w:pPr>
      <w:r>
        <w:rPr>
          <w:sz w:val="22"/>
          <w:szCs w:val="22"/>
        </w:rPr>
        <w:t>de l’originalité de la production,</w:t>
      </w:r>
    </w:p>
    <w:p>
      <w:pPr>
        <w:numPr>
          <w:ilvl w:val="0"/>
          <w:numId w:val="5"/>
        </w:numPr>
        <w:spacing w:before="120"/>
        <w:ind w:left="993" w:hanging="284"/>
        <w:jc w:val="both"/>
        <w:textAlignment w:val="auto"/>
        <w:rPr>
          <w:sz w:val="22"/>
        </w:rPr>
      </w:pPr>
      <w:r>
        <w:rPr>
          <w:sz w:val="22"/>
          <w:szCs w:val="22"/>
        </w:rPr>
        <w:t>du degré d’autonomie.</w:t>
      </w:r>
      <w:r>
        <w:rPr>
          <w:sz w:val="22"/>
        </w:rPr>
        <w:t xml:space="preserve"> </w:t>
      </w:r>
    </w:p>
    <w:p>
      <w:pPr>
        <w:suppressAutoHyphens/>
        <w:jc w:val="both"/>
        <w:rPr>
          <w:rFonts w:cs="Mangal"/>
          <w:spacing w:val="-2"/>
          <w:sz w:val="22"/>
          <w:szCs w:val="22"/>
        </w:rPr>
      </w:pPr>
    </w:p>
    <w:p>
      <w:pPr>
        <w:suppressAutoHyphens/>
        <w:jc w:val="both"/>
        <w:rPr>
          <w:rFonts w:cs="Mangal"/>
          <w:spacing w:val="-2"/>
          <w:sz w:val="22"/>
          <w:szCs w:val="22"/>
        </w:rPr>
      </w:pPr>
    </w:p>
    <w:p>
      <w:pPr>
        <w:numPr>
          <w:ilvl w:val="0"/>
          <w:numId w:val="17"/>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lastRenderedPageBreak/>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présentes et/ou futures ;</w:t>
      </w:r>
    </w:p>
    <w:p>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pPr>
        <w:numPr>
          <w:ilvl w:val="0"/>
          <w:numId w:val="2"/>
        </w:numPr>
        <w:tabs>
          <w:tab w:val="clear" w:pos="1135"/>
          <w:tab w:val="num" w:pos="1276"/>
          <w:tab w:val="num" w:pos="4254"/>
        </w:tabs>
        <w:spacing w:before="120"/>
        <w:ind w:left="1276" w:hanging="283"/>
        <w:jc w:val="both"/>
        <w:rPr>
          <w:sz w:val="22"/>
        </w:rPr>
      </w:pPr>
      <w:r>
        <w:rPr>
          <w:sz w:val="22"/>
        </w:rPr>
        <w:t>comprendre et suivre des indications et/ou des directives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pPr>
        <w:numPr>
          <w:ilvl w:val="0"/>
          <w:numId w:val="2"/>
        </w:numPr>
        <w:tabs>
          <w:tab w:val="clear" w:pos="1135"/>
          <w:tab w:val="num" w:pos="1276"/>
        </w:tabs>
        <w:spacing w:before="240"/>
        <w:ind w:left="1276"/>
        <w:jc w:val="both"/>
        <w:rPr>
          <w:sz w:val="22"/>
        </w:rPr>
      </w:pPr>
      <w:r>
        <w:rPr>
          <w:sz w:val="22"/>
        </w:rPr>
        <w:t>comprendre des messages simples utilisés dans des situations courantes de la vie professionnelle liées au domaine considéré (économique, informatique, technique, scientifique, artistique, etc.), par exemple des courriels, des extraits de catalogues et de modes d’emploi, des schémas, des plans, etc. ;</w:t>
      </w:r>
    </w:p>
    <w:p>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pPr>
        <w:spacing w:before="240"/>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 ;</w:t>
      </w:r>
    </w:p>
    <w:p>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pPr>
        <w:ind w:left="1135"/>
        <w:jc w:val="both"/>
        <w:rPr>
          <w:sz w:val="22"/>
        </w:rPr>
      </w:pPr>
    </w:p>
    <w:p>
      <w:pPr>
        <w:pStyle w:val="Retraitcorpsdetexte"/>
        <w:ind w:left="1418"/>
        <w:rPr>
          <w:i/>
          <w:color w:val="auto"/>
        </w:rPr>
      </w:pPr>
      <w:r>
        <w:rPr>
          <w:i/>
          <w:color w:val="auto"/>
        </w:rPr>
        <w:t>Il est à noter que la réussite de ces échanges dépend :</w:t>
      </w:r>
    </w:p>
    <w:p>
      <w:pPr>
        <w:pStyle w:val="Retraitcorpsdetexte"/>
        <w:numPr>
          <w:ilvl w:val="0"/>
          <w:numId w:val="7"/>
        </w:numPr>
        <w:spacing w:before="120"/>
        <w:ind w:left="2127" w:hanging="142"/>
        <w:rPr>
          <w:i/>
          <w:color w:val="auto"/>
        </w:rPr>
      </w:pPr>
      <w:r>
        <w:rPr>
          <w:i/>
          <w:color w:val="auto"/>
        </w:rPr>
        <w:t>de la disposition de l’interlocuteur à adapter son niveau de langue, à s’exprimer clairement, à répéter ou à reformuler si nécessaire,</w:t>
      </w:r>
    </w:p>
    <w:p>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prononciation et une intonation qui n’entravent pas la communication.</w:t>
      </w:r>
    </w:p>
    <w:p>
      <w:pPr>
        <w:ind w:left="993"/>
        <w:jc w:val="both"/>
        <w:rPr>
          <w:sz w:val="22"/>
        </w:rPr>
      </w:pPr>
    </w:p>
    <w:p>
      <w:pPr>
        <w:numPr>
          <w:ilvl w:val="0"/>
          <w:numId w:val="1"/>
        </w:numPr>
        <w:ind w:left="993" w:hanging="284"/>
        <w:jc w:val="both"/>
        <w:rPr>
          <w:sz w:val="22"/>
        </w:rPr>
      </w:pPr>
      <w:r>
        <w:rPr>
          <w:sz w:val="22"/>
        </w:rPr>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présenter brièvement sa formation, son travail, ses collègues ou des activités quotidiennes passées, présentes et/ou futures, relatives à la vie socioprofessionnelle ;</w:t>
      </w:r>
    </w:p>
    <w:p>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pPr>
        <w:ind w:left="1135"/>
        <w:jc w:val="both"/>
        <w:rPr>
          <w:sz w:val="22"/>
        </w:rPr>
      </w:pPr>
    </w:p>
    <w:p>
      <w:pPr>
        <w:pStyle w:val="Retraitcorpsdetexte"/>
        <w:ind w:left="1418"/>
        <w:rPr>
          <w:i/>
          <w:color w:val="auto"/>
          <w:szCs w:val="22"/>
        </w:rPr>
      </w:pPr>
      <w:r>
        <w:rPr>
          <w:i/>
          <w:color w:val="auto"/>
          <w:szCs w:val="22"/>
        </w:rPr>
        <w:t>avec une prononciation et une intonation qui n’entravent pas la communication, en utilisant des structures simples et des connecteurs élémentaires et en respectant la morphosyntaxe.</w:t>
      </w:r>
    </w:p>
    <w:p>
      <w:pPr>
        <w:ind w:left="993"/>
        <w:jc w:val="both"/>
        <w:rPr>
          <w:sz w:val="22"/>
        </w:rPr>
      </w:pPr>
    </w:p>
    <w:p>
      <w:pPr>
        <w:numPr>
          <w:ilvl w:val="0"/>
          <w:numId w:val="1"/>
        </w:numPr>
        <w:ind w:left="993" w:hanging="284"/>
        <w:jc w:val="both"/>
        <w:rPr>
          <w:sz w:val="22"/>
          <w:szCs w:val="22"/>
        </w:rPr>
      </w:pPr>
      <w:r>
        <w:rPr>
          <w:sz w:val="22"/>
          <w:szCs w:val="22"/>
        </w:rPr>
        <w:t>en production écrite :</w:t>
      </w:r>
    </w:p>
    <w:p>
      <w:pPr>
        <w:pStyle w:val="Retraitcorpsdetexte"/>
        <w:spacing w:before="120"/>
        <w:ind w:left="1418"/>
        <w:rPr>
          <w:i/>
          <w:iCs/>
          <w:color w:val="auto"/>
          <w:szCs w:val="22"/>
          <w:lang w:eastAsia="fr-BE"/>
        </w:rPr>
      </w:pPr>
      <w:r>
        <w:rPr>
          <w:i/>
          <w:color w:val="auto"/>
        </w:rPr>
        <w:t>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simples (par exemple, une note, un courriel, etc.) en utilisant des termes et expressions nécessaires aux échanges sociaux et professionnels dans le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compenser les lacunes linguistiques.</w:t>
      </w:r>
    </w:p>
    <w:p>
      <w:pPr>
        <w:pStyle w:val="Retraitcorpsdetexte"/>
        <w:ind w:left="0"/>
        <w:rPr>
          <w:i/>
          <w:color w:val="auto"/>
        </w:rPr>
      </w:pPr>
    </w:p>
    <w:p>
      <w:pPr>
        <w:keepNext/>
        <w:widowControl w:val="0"/>
        <w:ind w:left="360" w:hanging="360"/>
        <w:rPr>
          <w:sz w:val="22"/>
        </w:rPr>
      </w:pPr>
      <w:r>
        <w:rPr>
          <w:b/>
          <w:sz w:val="22"/>
        </w:rPr>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8"/>
        </w:numPr>
        <w:rPr>
          <w:b/>
          <w:sz w:val="22"/>
        </w:rPr>
      </w:pPr>
      <w:r>
        <w:rPr>
          <w:b/>
          <w:sz w:val="22"/>
        </w:rPr>
        <w:lastRenderedPageBreak/>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ind w:left="426"/>
        <w:jc w:val="both"/>
        <w:rPr>
          <w:rFonts w:ascii="Times" w:hAnsi="Times" w:cs="Times"/>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Height w:val="1348"/>
        </w:trPr>
        <w:tc>
          <w:tcPr>
            <w:tcW w:w="4678" w:type="dxa"/>
          </w:tcPr>
          <w:p>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cantSplit/>
          <w:trHeight w:val="548"/>
        </w:trPr>
        <w:tc>
          <w:tcPr>
            <w:tcW w:w="4678" w:type="dxa"/>
          </w:tcPr>
          <w:p>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cantSplit/>
          <w:trHeight w:val="558"/>
        </w:trPr>
        <w:tc>
          <w:tcPr>
            <w:tcW w:w="4678" w:type="dxa"/>
          </w:tcPr>
          <w:p>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Transports publics</w:t>
            </w:r>
          </w:p>
          <w:p>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9"/>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9"/>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8"/>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Pr>
        <w:overflowPunct/>
        <w:autoSpaceDE/>
        <w:autoSpaceDN/>
        <w:adjustRightInd/>
        <w:textAlignment w:val="auto"/>
      </w:pPr>
      <w:r>
        <w:br w:type="page"/>
      </w:r>
    </w:p>
    <w:p>
      <w:pPr>
        <w:keepNext/>
        <w:widowControl w:val="0"/>
        <w:numPr>
          <w:ilvl w:val="0"/>
          <w:numId w:val="18"/>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19"/>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9"/>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54"/>
        <w:gridCol w:w="6136"/>
      </w:tblGrid>
      <w:tr>
        <w:trPr>
          <w:trHeight w:val="5912"/>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accueillir les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réaliser le </w:t>
            </w:r>
            <w:proofErr w:type="spellStart"/>
            <w:r>
              <w:rPr>
                <w:rFonts w:cs="Mangal"/>
                <w:sz w:val="22"/>
                <w:szCs w:val="22"/>
              </w:rPr>
              <w:t>folder</w:t>
            </w:r>
            <w:proofErr w:type="spellEnd"/>
            <w:r>
              <w:rPr>
                <w:rFonts w:cs="Mangal"/>
                <w:sz w:val="22"/>
                <w:szCs w:val="22"/>
              </w:rPr>
              <w:t xml:space="preserve"> d’un programme d’événement, d’une plaquette d’entreprise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w:t>
            </w:r>
            <w:proofErr w:type="spellStart"/>
            <w:r>
              <w:rPr>
                <w:rFonts w:cs="Mangal"/>
                <w:sz w:val="22"/>
                <w:szCs w:val="22"/>
              </w:rPr>
              <w:t>community</w:t>
            </w:r>
            <w:proofErr w:type="spellEnd"/>
            <w:r>
              <w:rPr>
                <w:rFonts w:cs="Mangal"/>
                <w:sz w:val="22"/>
                <w:szCs w:val="22"/>
              </w:rPr>
              <w:t xml:space="preserve"> management)</w:t>
            </w:r>
          </w:p>
          <w:p>
            <w:pPr>
              <w:overflowPunct/>
              <w:adjustRightInd/>
              <w:textAlignment w:val="auto"/>
              <w:rPr>
                <w:rFonts w:cs="Mangal"/>
                <w:sz w:val="22"/>
                <w:szCs w:val="22"/>
              </w:rPr>
            </w:pPr>
          </w:p>
        </w:tc>
      </w:tr>
      <w:tr>
        <w:trPr>
          <w:trHeight w:val="130"/>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overflowPunct/>
              <w:adjustRightInd/>
              <w:spacing w:before="80" w:after="80"/>
              <w:textAlignment w:val="auto"/>
              <w:rPr>
                <w:rFonts w:cs="Mangal"/>
                <w:sz w:val="10"/>
                <w:szCs w:val="10"/>
              </w:rPr>
            </w:pPr>
          </w:p>
          <w:p>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textAlignment w:val="auto"/>
              <w:rPr>
                <w:rFonts w:cs="Mangal"/>
                <w:sz w:val="10"/>
                <w:szCs w:val="10"/>
              </w:rPr>
            </w:pPr>
          </w:p>
          <w:p>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 xml:space="preserve">(s’) informer  sur les conditions de location d’un véhicule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sz w:val="22"/>
                <w:szCs w:val="22"/>
              </w:rPr>
            </w:pPr>
            <w:r>
              <w:rPr>
                <w:rFonts w:cs="Mangal"/>
                <w:b/>
                <w:sz w:val="22"/>
                <w:szCs w:val="22"/>
              </w:rPr>
              <w:t xml:space="preserve">D. </w:t>
            </w:r>
            <w:proofErr w:type="spellStart"/>
            <w:r>
              <w:rPr>
                <w:b/>
                <w:color w:val="000000"/>
                <w:sz w:val="22"/>
                <w:szCs w:val="22"/>
              </w:rPr>
              <w:t>Envir</w:t>
            </w:r>
            <w:proofErr w:type="spellEnd"/>
            <w:r>
              <w:rPr>
                <w:b/>
                <w:sz w:val="22"/>
                <w:szCs w:val="22"/>
                <w:lang w:val="fr-BE"/>
              </w:rPr>
              <w:t>o</w:t>
            </w:r>
            <w:proofErr w:type="spellStart"/>
            <w:r>
              <w:rPr>
                <w:b/>
                <w:color w:val="000000"/>
                <w:sz w:val="22"/>
                <w:szCs w:val="22"/>
              </w:rPr>
              <w:t>nnement</w:t>
            </w:r>
            <w:proofErr w:type="spellEnd"/>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construire un questionnaire de satisfaction client</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after="120" w:line="276" w:lineRule="auto"/>
              <w:ind w:left="788" w:hanging="289"/>
              <w:textAlignment w:val="auto"/>
              <w:rPr>
                <w:rFonts w:cs="Mangal"/>
                <w:b/>
                <w:sz w:val="22"/>
                <w:szCs w:val="22"/>
              </w:rPr>
            </w:pPr>
            <w:r>
              <w:rPr>
                <w:rFonts w:cs="Mangal"/>
                <w:b/>
                <w:sz w:val="22"/>
                <w:szCs w:val="22"/>
              </w:rPr>
              <w:t>H. Promotion / distribution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overflowPunct/>
              <w:adjustRightInd/>
              <w:spacing w:line="276" w:lineRule="auto"/>
              <w:ind w:left="780"/>
              <w:jc w:val="both"/>
              <w:textAlignment w:val="auto"/>
              <w:rPr>
                <w:rFonts w:cs="Mangal"/>
                <w:b/>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lastRenderedPageBreak/>
        <w:br w:type="page"/>
      </w: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keepNext/>
        <w:widowControl w:val="0"/>
        <w:numPr>
          <w:ilvl w:val="0"/>
          <w:numId w:val="18"/>
        </w:numPr>
        <w:rPr>
          <w:rFonts w:cs="Mangal"/>
          <w:b/>
          <w:bCs/>
          <w:sz w:val="22"/>
          <w:szCs w:val="22"/>
        </w:rPr>
      </w:pPr>
      <w:r>
        <w:rPr>
          <w:rFonts w:cs="Mangal"/>
          <w:b/>
          <w:bCs/>
          <w:sz w:val="22"/>
          <w:szCs w:val="22"/>
        </w:rPr>
        <w:t>Etc.</w:t>
      </w:r>
    </w:p>
    <w:p>
      <w:pPr>
        <w:spacing w:before="120"/>
        <w:jc w:val="both"/>
        <w:rPr>
          <w:rFonts w:ascii="Times" w:hAnsi="Times" w:cs="Times"/>
          <w:sz w:val="22"/>
        </w:rPr>
      </w:pPr>
    </w:p>
    <w:p>
      <w:pPr>
        <w:rPr>
          <w:b/>
          <w:sz w:val="22"/>
        </w:rPr>
      </w:pPr>
    </w:p>
    <w:p>
      <w:pPr>
        <w:numPr>
          <w:ilvl w:val="0"/>
          <w:numId w:val="17"/>
        </w:numPr>
        <w:rPr>
          <w:b/>
          <w:sz w:val="22"/>
        </w:rPr>
      </w:pPr>
      <w:r>
        <w:rPr>
          <w:b/>
          <w:sz w:val="22"/>
        </w:rPr>
        <w:t>CONSTITUTION DES GROUPES OU REGROUPEMENT</w:t>
      </w:r>
    </w:p>
    <w:p>
      <w:pPr>
        <w:rPr>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jc w:val="both"/>
        <w:rPr>
          <w:sz w:val="22"/>
        </w:rPr>
      </w:pPr>
    </w:p>
    <w:p>
      <w:pPr>
        <w:numPr>
          <w:ilvl w:val="0"/>
          <w:numId w:val="17"/>
        </w:numPr>
        <w:rPr>
          <w:b/>
          <w:sz w:val="22"/>
        </w:rPr>
      </w:pPr>
      <w:r>
        <w:rPr>
          <w:b/>
          <w:sz w:val="22"/>
        </w:rPr>
        <w:t>CHARGE(S) DE COURS</w:t>
      </w:r>
    </w:p>
    <w:p>
      <w:pPr>
        <w:rPr>
          <w:sz w:val="22"/>
        </w:rPr>
      </w:pPr>
    </w:p>
    <w:p>
      <w:pPr>
        <w:ind w:left="426"/>
        <w:rPr>
          <w:sz w:val="22"/>
        </w:rPr>
      </w:pPr>
      <w:r>
        <w:rPr>
          <w:sz w:val="22"/>
        </w:rPr>
        <w:t>Le chargé de cours sera un enseignant.</w:t>
      </w:r>
    </w:p>
    <w:p>
      <w:pPr>
        <w:jc w:val="both"/>
        <w:rPr>
          <w:sz w:val="22"/>
        </w:rPr>
      </w:pPr>
    </w:p>
    <w:p>
      <w:pPr>
        <w:numPr>
          <w:ilvl w:val="0"/>
          <w:numId w:val="17"/>
        </w:numPr>
        <w:rPr>
          <w:b/>
          <w:sz w:val="22"/>
        </w:rPr>
      </w:pPr>
      <w:r>
        <w:rPr>
          <w:b/>
          <w:sz w:val="2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r>
            <w:bookmarkStart w:id="0" w:name="_GoBack"/>
            <w:r>
              <w:rPr>
                <w:rFonts w:cs="Mangal"/>
                <w:b/>
                <w:spacing w:val="-2"/>
                <w:sz w:val="22"/>
                <w:szCs w:val="22"/>
              </w:rPr>
              <w:t>Part d'autonomie</w:t>
            </w:r>
            <w:bookmarkEnd w:id="0"/>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6550" w:type="dxa"/>
            <w:gridSpan w:val="3"/>
          </w:tcPr>
          <w:p>
            <w:pPr>
              <w:suppressAutoHyphens/>
              <w:ind w:right="477"/>
              <w:jc w:val="right"/>
              <w:rPr>
                <w:rFonts w:cs="Mangal"/>
                <w:spacing w:val="-2"/>
                <w:sz w:val="22"/>
                <w:szCs w:val="22"/>
              </w:rPr>
            </w:pPr>
            <w:r>
              <w:rPr>
                <w:rFonts w:cs="Mangal"/>
                <w:spacing w:val="-2"/>
                <w:sz w:val="22"/>
                <w:szCs w:val="22"/>
              </w:rPr>
              <w:t>Total  des périodes</w:t>
            </w:r>
          </w:p>
        </w:tc>
        <w:tc>
          <w:tcPr>
            <w:tcW w:w="2160" w:type="dxa"/>
          </w:tcPr>
          <w:p>
            <w:pPr>
              <w:suppressAutoHyphens/>
              <w:jc w:val="center"/>
              <w:rPr>
                <w:rFonts w:cs="Mangal"/>
                <w:spacing w:val="-2"/>
                <w:sz w:val="22"/>
                <w:szCs w:val="22"/>
              </w:rPr>
            </w:pPr>
            <w:r>
              <w:rPr>
                <w:rFonts w:cs="Mangal"/>
                <w:spacing w:val="-2"/>
                <w:sz w:val="22"/>
                <w:szCs w:val="22"/>
              </w:rPr>
              <w:t>80</w:t>
            </w:r>
          </w:p>
        </w:tc>
      </w:tr>
      <w:tr>
        <w:tc>
          <w:tcPr>
            <w:tcW w:w="6550" w:type="dxa"/>
            <w:gridSpan w:val="3"/>
            <w:tcBorders>
              <w:bottom w:val="single" w:sz="12" w:space="0" w:color="auto"/>
            </w:tcBorders>
          </w:tcPr>
          <w:p>
            <w:pPr>
              <w:suppressAutoHyphens/>
              <w:ind w:right="477"/>
              <w:jc w:val="right"/>
              <w:rPr>
                <w:rFonts w:cs="Mangal"/>
                <w:spacing w:val="-2"/>
                <w:sz w:val="22"/>
                <w:szCs w:val="22"/>
              </w:rPr>
            </w:pPr>
            <w:r>
              <w:rPr>
                <w:rFonts w:cs="Mangal"/>
                <w:spacing w:val="-2"/>
                <w:sz w:val="22"/>
                <w:szCs w:val="22"/>
              </w:rPr>
              <w:t>Nombre d’ECTS</w:t>
            </w: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w:t>
            </w:r>
          </w:p>
        </w:tc>
      </w:tr>
    </w:tbl>
    <w:p>
      <w:pPr>
        <w:pStyle w:val="Corpsdetexte2"/>
        <w:rPr>
          <w:rFonts w:cs="Mangal"/>
        </w:rPr>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Serif">
    <w:altName w:val="Harrington"/>
    <w:panose1 w:val="04000500000000000000"/>
    <w:charset w:val="00"/>
    <w:family w:val="roman"/>
    <w:notTrueType/>
    <w:pitch w:val="variable"/>
    <w:sig w:usb0="00000003" w:usb1="00000000" w:usb2="00000000" w:usb3="00000000" w:csb0="00000001" w:csb1="00000000"/>
  </w:font>
  <w:font w:name="Mangal">
    <w:altName w:val="Cambria Math"/>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2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23</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70A4BF2"/>
    <w:lvl w:ilvl="0">
      <w:numFmt w:val="bullet"/>
      <w:lvlText w:val="*"/>
      <w:lvlJc w:val="left"/>
    </w:lvl>
  </w:abstractNum>
  <w:abstractNum w:abstractNumId="1">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8975EA6-0C55-431C-A075-F883594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97267E-0C3C-4158-A5E3-C5F3AB29A3EA}"/>
</file>

<file path=customXml/itemProps2.xml><?xml version="1.0" encoding="utf-8"?>
<ds:datastoreItem xmlns:ds="http://schemas.openxmlformats.org/officeDocument/2006/customXml" ds:itemID="{680F9298-8C9B-448A-A8D8-AB0F67798815}"/>
</file>

<file path=docProps/app.xml><?xml version="1.0" encoding="utf-8"?>
<Properties xmlns="http://schemas.openxmlformats.org/officeDocument/2006/extended-properties" xmlns:vt="http://schemas.openxmlformats.org/officeDocument/2006/docPropsVTypes">
  <Template>Normal.dotm</Template>
  <TotalTime>2</TotalTime>
  <Pages>23</Pages>
  <Words>5425</Words>
  <Characters>29840</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THYS Jacky</cp:lastModifiedBy>
  <cp:revision>3</cp:revision>
  <cp:lastPrinted>2016-06-10T12:24:00Z</cp:lastPrinted>
  <dcterms:created xsi:type="dcterms:W3CDTF">2020-11-23T16:58:00Z</dcterms:created>
  <dcterms:modified xsi:type="dcterms:W3CDTF">2023-01-23T07:40:00Z</dcterms:modified>
</cp:coreProperties>
</file>