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>
      <w:pPr>
        <w:pStyle w:val="Titre2"/>
        <w:rPr>
          <w:caps/>
        </w:rPr>
      </w:pPr>
      <w:r>
        <w:t>UNITE D'ENSEIGNEMENT</w:t>
      </w:r>
      <w:r>
        <w:rPr>
          <w:b w:val="0"/>
          <w:bCs w:val="0"/>
        </w:rPr>
        <w:t xml:space="preserve"> 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DROIT APPLIQUE AU SECTEUR TOURISTIQUE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</w:rPr>
      </w:pPr>
      <w:r>
        <w:rPr>
          <w:rStyle w:val="Titredulivre"/>
        </w:rPr>
        <w:t>Domaine : Sciences juridiques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: 74 31 59 U32 D1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</w:tc>
      </w:tr>
    </w:tbl>
    <w:p>
      <w:pPr>
        <w:sectPr>
          <w:headerReference w:type="default" r:id="rId8"/>
          <w:footnotePr>
            <w:pos w:val="beneathText"/>
          </w:footnotePr>
          <w:pgSz w:w="11905" w:h="16837"/>
          <w:pgMar w:top="1417" w:right="990" w:bottom="1291" w:left="1417" w:header="720" w:footer="720" w:gutter="0"/>
          <w:cols w:space="720"/>
          <w:docGrid w:linePitch="360"/>
        </w:sectPr>
      </w:pPr>
    </w:p>
    <w:p/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15 mai 2017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rPr>
          <w:lang w:val="fr-BE"/>
        </w:rPr>
      </w:pPr>
    </w:p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DROIT APPLIQUE AU SECTEUR TOURISTIQUE</w:t>
            </w:r>
          </w:p>
          <w:p>
            <w:pPr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rPr>
          <w:b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bookmarkStart w:id="1" w:name="FIP"/>
      <w:bookmarkEnd w:id="1"/>
      <w:r>
        <w:rPr>
          <w:sz w:val="22"/>
        </w:rPr>
        <w:t>Cette unité d'enseignement vise à permettre à l’étudiant :</w:t>
      </w:r>
    </w:p>
    <w:p>
      <w:pPr>
        <w:numPr>
          <w:ilvl w:val="0"/>
          <w:numId w:val="14"/>
        </w:numPr>
        <w:tabs>
          <w:tab w:val="left" w:pos="1134"/>
        </w:tabs>
        <w:spacing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droit civil et en législation sociale ;</w:t>
      </w:r>
    </w:p>
    <w:p>
      <w:pPr>
        <w:numPr>
          <w:ilvl w:val="0"/>
          <w:numId w:val="14"/>
        </w:numPr>
        <w:tabs>
          <w:tab w:val="left" w:pos="1134"/>
        </w:tabs>
        <w:autoSpaceDE w:val="0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</w:rPr>
        <w:t>de s’initier à la gestion des litiges touristiques dans leurs aspects juridiques et des assurances ;</w:t>
      </w:r>
    </w:p>
    <w:p>
      <w:pPr>
        <w:numPr>
          <w:ilvl w:val="0"/>
          <w:numId w:val="14"/>
        </w:numPr>
        <w:tabs>
          <w:tab w:val="left" w:pos="1134"/>
        </w:tabs>
        <w:spacing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d’actualiser et de vérifier ses connaissances par la consultation et le tri d’informations juridiques.</w:t>
      </w:r>
    </w:p>
    <w:p>
      <w:pPr>
        <w:pStyle w:val="Paragraphedeliste"/>
        <w:ind w:left="0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numPr>
          <w:ilvl w:val="1"/>
          <w:numId w:val="2"/>
        </w:numPr>
        <w:tabs>
          <w:tab w:val="clear" w:pos="1080"/>
          <w:tab w:val="num" w:pos="900"/>
        </w:tabs>
        <w:rPr>
          <w:b/>
          <w:sz w:val="22"/>
        </w:rPr>
      </w:pPr>
      <w:r>
        <w:rPr>
          <w:b/>
          <w:sz w:val="22"/>
        </w:rPr>
        <w:t>Capacités</w:t>
      </w:r>
    </w:p>
    <w:p>
      <w:pPr>
        <w:ind w:left="360"/>
        <w:rPr>
          <w:b/>
          <w:sz w:val="22"/>
        </w:rPr>
      </w:pPr>
    </w:p>
    <w:p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 ... (des documents d’information pouvant être mis à sa disposition).</w:t>
      </w:r>
    </w:p>
    <w:p>
      <w:pPr>
        <w:rPr>
          <w:sz w:val="22"/>
          <w:szCs w:val="22"/>
          <w:lang w:val="fr-BE"/>
        </w:rPr>
      </w:pPr>
    </w:p>
    <w:p>
      <w:pPr>
        <w:ind w:left="425"/>
        <w:rPr>
          <w:b/>
          <w:sz w:val="22"/>
        </w:rPr>
      </w:pPr>
      <w:r>
        <w:rPr>
          <w:b/>
          <w:sz w:val="22"/>
        </w:rPr>
        <w:t>2.2. Titre pouvant en tenir lieu</w:t>
      </w:r>
    </w:p>
    <w:p>
      <w:pPr>
        <w:rPr>
          <w:sz w:val="22"/>
          <w:szCs w:val="22"/>
        </w:rPr>
      </w:pPr>
    </w:p>
    <w:p>
      <w:pPr>
        <w:pStyle w:val="NormalWeb"/>
        <w:spacing w:before="0" w:beforeAutospacing="0" w:after="0" w:afterAutospacing="0"/>
        <w:ind w:left="709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>C.E.S.S.</w:t>
      </w:r>
    </w:p>
    <w:p>
      <w:pPr>
        <w:pStyle w:val="NormalWeb"/>
        <w:spacing w:before="0" w:beforeAutospacing="0" w:after="0" w:afterAutospacing="0"/>
        <w:rPr>
          <w:sz w:val="22"/>
          <w:szCs w:val="22"/>
          <w:lang w:val="fr-FR" w:eastAsia="ar-SA"/>
        </w:rPr>
      </w:pPr>
    </w:p>
    <w:p>
      <w:pPr>
        <w:suppressAutoHyphens w:val="0"/>
        <w:rPr>
          <w:b/>
          <w:sz w:val="22"/>
        </w:rPr>
      </w:pPr>
      <w:r>
        <w:rPr>
          <w:b/>
          <w:sz w:val="22"/>
        </w:rPr>
        <w:br w:type="page"/>
      </w: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ind w:left="284"/>
        <w:jc w:val="both"/>
        <w:rPr>
          <w:b/>
          <w:sz w:val="22"/>
          <w:szCs w:val="22"/>
        </w:rPr>
      </w:pPr>
      <w:bookmarkStart w:id="2" w:name="CAT"/>
      <w:bookmarkEnd w:id="2"/>
      <w:r>
        <w:rPr>
          <w:b/>
          <w:sz w:val="22"/>
          <w:szCs w:val="22"/>
        </w:rPr>
        <w:t>Pour atteindre le seuil de réussite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l’étudiant sera capable,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pStyle w:val="Corpsdetexte"/>
        <w:shd w:val="clear" w:color="auto" w:fill="FFFFFF" w:themeFill="background1"/>
        <w:ind w:left="425"/>
        <w:rPr>
          <w:i/>
          <w:szCs w:val="22"/>
        </w:rPr>
      </w:pPr>
      <w:r>
        <w:rPr>
          <w:i/>
          <w:szCs w:val="22"/>
        </w:rPr>
        <w:t>face à des situations juridiques simples concernant les notions suivantes : les contrats civils, la législation du travail, les assurances appliquées au tourisme et la réglementation du secteur touristique,</w:t>
      </w:r>
    </w:p>
    <w:p>
      <w:pPr>
        <w:pStyle w:val="Corpsdetexte"/>
        <w:shd w:val="clear" w:color="auto" w:fill="FFFFFF" w:themeFill="background1"/>
        <w:spacing w:before="120"/>
        <w:ind w:left="425"/>
        <w:rPr>
          <w:i/>
          <w:szCs w:val="22"/>
        </w:rPr>
      </w:pPr>
      <w:r>
        <w:rPr>
          <w:i/>
          <w:szCs w:val="22"/>
        </w:rPr>
        <w:t>en disposant de la documentation ad hoc,</w:t>
      </w:r>
    </w:p>
    <w:p>
      <w:pPr>
        <w:numPr>
          <w:ilvl w:val="0"/>
          <w:numId w:val="8"/>
        </w:numPr>
        <w:tabs>
          <w:tab w:val="left" w:pos="709"/>
        </w:tabs>
        <w:spacing w:before="120"/>
        <w:ind w:left="991"/>
        <w:rPr>
          <w:sz w:val="22"/>
          <w:szCs w:val="22"/>
        </w:rPr>
      </w:pPr>
      <w:r>
        <w:rPr>
          <w:sz w:val="22"/>
          <w:szCs w:val="22"/>
        </w:rPr>
        <w:t>d’identifier les cadres juridiques (parties en présence, niveaux de pouvoir et juridiction compétents, réglementations applicables …) ;</w:t>
      </w:r>
    </w:p>
    <w:p>
      <w:pPr>
        <w:numPr>
          <w:ilvl w:val="0"/>
          <w:numId w:val="8"/>
        </w:numPr>
        <w:tabs>
          <w:tab w:val="left" w:pos="709"/>
        </w:tabs>
        <w:spacing w:before="120"/>
        <w:ind w:left="991"/>
        <w:rPr>
          <w:sz w:val="22"/>
          <w:szCs w:val="22"/>
        </w:rPr>
      </w:pPr>
      <w:r>
        <w:rPr>
          <w:sz w:val="22"/>
          <w:szCs w:val="22"/>
        </w:rPr>
        <w:t>d’analyser ces situations en mettant en évidence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les règles juridiques ;</w:t>
      </w:r>
    </w:p>
    <w:p>
      <w:pPr>
        <w:numPr>
          <w:ilvl w:val="0"/>
          <w:numId w:val="8"/>
        </w:numPr>
        <w:tabs>
          <w:tab w:val="left" w:pos="709"/>
        </w:tabs>
        <w:spacing w:before="120"/>
        <w:ind w:left="991"/>
        <w:rPr>
          <w:sz w:val="22"/>
          <w:szCs w:val="22"/>
        </w:rPr>
      </w:pPr>
      <w:r>
        <w:rPr>
          <w:sz w:val="22"/>
          <w:szCs w:val="22"/>
        </w:rPr>
        <w:t>de les appliquer à partir des faits juridiquement pertinents.</w:t>
      </w:r>
    </w:p>
    <w:p>
      <w:pPr>
        <w:spacing w:before="120" w:after="120"/>
        <w:jc w:val="both"/>
        <w:rPr>
          <w:b/>
          <w:bCs/>
          <w:iCs/>
          <w:sz w:val="22"/>
          <w:szCs w:val="22"/>
        </w:rPr>
      </w:pPr>
    </w:p>
    <w:p>
      <w:pPr>
        <w:ind w:left="284"/>
        <w:jc w:val="both"/>
        <w:rPr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 des critères suivants :</w:t>
      </w:r>
    </w:p>
    <w:p>
      <w:pPr>
        <w:ind w:left="284"/>
        <w:jc w:val="both"/>
        <w:rPr>
          <w:b/>
          <w:sz w:val="22"/>
        </w:rPr>
      </w:pPr>
    </w:p>
    <w:p>
      <w:pPr>
        <w:numPr>
          <w:ilvl w:val="0"/>
          <w:numId w:val="14"/>
        </w:numPr>
        <w:tabs>
          <w:tab w:val="clear" w:pos="1134"/>
          <w:tab w:val="left" w:pos="709"/>
          <w:tab w:val="num" w:pos="1417"/>
        </w:tabs>
        <w:spacing w:before="120"/>
        <w:ind w:left="992" w:hanging="284"/>
        <w:rPr>
          <w:sz w:val="22"/>
          <w:szCs w:val="22"/>
        </w:rPr>
      </w:pPr>
      <w:r>
        <w:rPr>
          <w:sz w:val="22"/>
          <w:szCs w:val="22"/>
        </w:rPr>
        <w:t>le degré de précision de l'argumentation,</w:t>
      </w:r>
    </w:p>
    <w:p>
      <w:pPr>
        <w:numPr>
          <w:ilvl w:val="0"/>
          <w:numId w:val="14"/>
        </w:numPr>
        <w:tabs>
          <w:tab w:val="clear" w:pos="1134"/>
          <w:tab w:val="left" w:pos="709"/>
          <w:tab w:val="num" w:pos="1417"/>
        </w:tabs>
        <w:spacing w:before="120"/>
        <w:ind w:left="992" w:hanging="284"/>
        <w:rPr>
          <w:sz w:val="22"/>
          <w:szCs w:val="22"/>
        </w:rPr>
      </w:pPr>
      <w:r>
        <w:rPr>
          <w:sz w:val="22"/>
          <w:szCs w:val="22"/>
        </w:rPr>
        <w:t>le degré de précision dans l’emploi des termes juridiques.</w:t>
      </w:r>
    </w:p>
    <w:p>
      <w:pPr>
        <w:tabs>
          <w:tab w:val="left" w:pos="709"/>
        </w:tabs>
        <w:spacing w:before="120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b/>
          <w:sz w:val="22"/>
        </w:rPr>
      </w:pPr>
    </w:p>
    <w:p>
      <w:pPr>
        <w:ind w:left="284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ab/>
      </w:r>
    </w:p>
    <w:p>
      <w:pPr>
        <w:pStyle w:val="Corpsdetexte"/>
        <w:shd w:val="clear" w:color="auto" w:fill="FFFFFF" w:themeFill="background1"/>
        <w:spacing w:after="0"/>
        <w:ind w:left="425"/>
        <w:rPr>
          <w:i/>
          <w:szCs w:val="22"/>
        </w:rPr>
      </w:pPr>
      <w:r>
        <w:rPr>
          <w:i/>
          <w:szCs w:val="22"/>
        </w:rPr>
        <w:t>face à des situations juridiques simples liées au secteur touristique,</w:t>
      </w:r>
    </w:p>
    <w:p>
      <w:pPr>
        <w:pStyle w:val="Corpsdetexte"/>
        <w:shd w:val="clear" w:color="auto" w:fill="FFFFFF" w:themeFill="background1"/>
        <w:spacing w:after="0"/>
        <w:ind w:left="425"/>
        <w:rPr>
          <w:i/>
          <w:szCs w:val="22"/>
        </w:rPr>
      </w:pPr>
      <w:r>
        <w:rPr>
          <w:i/>
          <w:szCs w:val="22"/>
        </w:rPr>
        <w:t>en disposant de la documentation ad hoc,</w:t>
      </w:r>
    </w:p>
    <w:p>
      <w:pPr>
        <w:jc w:val="both"/>
        <w:rPr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4.1. Eléments de droit civil</w:t>
      </w:r>
    </w:p>
    <w:p>
      <w:pPr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4"/>
        </w:numPr>
        <w:tabs>
          <w:tab w:val="left" w:pos="991"/>
          <w:tab w:val="left" w:pos="1068"/>
        </w:tabs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décrire et d’expliciter des notions essentielles du droit en général :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sens du mot « droit »,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fondement et hiérarchisation des sources du droit,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différents niveaux de pouvoir,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compétences des tribunaux,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caractéristiques formelles des personnes physiques et morales,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théorie générale des contrats : classification, conditions de validité, extinction ;</w:t>
      </w:r>
    </w:p>
    <w:p>
      <w:pPr>
        <w:numPr>
          <w:ilvl w:val="0"/>
          <w:numId w:val="4"/>
        </w:numPr>
        <w:tabs>
          <w:tab w:val="left" w:pos="991"/>
          <w:tab w:val="left" w:pos="1068"/>
          <w:tab w:val="num" w:pos="1134"/>
        </w:tabs>
        <w:spacing w:before="120"/>
        <w:ind w:left="992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parties en présence, les éléments essentiels et les obligations de chacun des cocontractants des contrats de vente et de prêt ;</w:t>
      </w:r>
    </w:p>
    <w:p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120"/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d’appliquer les principes relatifs aux conditions de validité des contrats et à leurs effets.</w:t>
      </w:r>
    </w:p>
    <w:p>
      <w:pPr>
        <w:suppressAutoHyphens w:val="0"/>
        <w:overflowPunct w:val="0"/>
        <w:autoSpaceDE w:val="0"/>
        <w:autoSpaceDN w:val="0"/>
        <w:adjustRightInd w:val="0"/>
        <w:spacing w:before="120"/>
        <w:ind w:left="360"/>
        <w:jc w:val="both"/>
        <w:rPr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4.2. Sensibilisation à la législation du travail</w:t>
      </w:r>
    </w:p>
    <w:p>
      <w:pPr>
        <w:numPr>
          <w:ilvl w:val="0"/>
          <w:numId w:val="12"/>
        </w:numPr>
        <w:tabs>
          <w:tab w:val="left" w:pos="992"/>
          <w:tab w:val="left" w:pos="1068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décrire et d’expliciter des notions essentielles relevant du droit du travail telles que </w:t>
      </w:r>
    </w:p>
    <w:p>
      <w:pPr>
        <w:numPr>
          <w:ilvl w:val="0"/>
          <w:numId w:val="19"/>
        </w:numPr>
        <w:tabs>
          <w:tab w:val="left" w:pos="992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règlement du travail, la protection de la rémunération, le repos dominical, les jours fériés, l’égalité entre les hommes et les femmes,</w:t>
      </w:r>
    </w:p>
    <w:p>
      <w:pPr>
        <w:numPr>
          <w:ilvl w:val="0"/>
          <w:numId w:val="19"/>
        </w:numPr>
        <w:tabs>
          <w:tab w:val="left" w:pos="992"/>
        </w:tabs>
        <w:jc w:val="both"/>
        <w:rPr>
          <w:sz w:val="22"/>
          <w:szCs w:val="22"/>
        </w:rPr>
      </w:pPr>
      <w:r>
        <w:rPr>
          <w:sz w:val="22"/>
          <w:szCs w:val="22"/>
        </w:rPr>
        <w:t>les systèmes et les organisations de défense des droits sociaux de différentes catégories de travailleurs,</w:t>
      </w:r>
    </w:p>
    <w:p>
      <w:pPr>
        <w:numPr>
          <w:ilvl w:val="0"/>
          <w:numId w:val="19"/>
        </w:numPr>
        <w:tabs>
          <w:tab w:val="left" w:pos="992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rôle du conseil d’entreprise, de la délégation syndicale et du comité pour la protection et la prévention au travail,</w:t>
      </w:r>
    </w:p>
    <w:p>
      <w:pPr>
        <w:numPr>
          <w:ilvl w:val="0"/>
          <w:numId w:val="19"/>
        </w:numPr>
        <w:tabs>
          <w:tab w:val="left" w:pos="992"/>
        </w:tabs>
        <w:jc w:val="both"/>
        <w:rPr>
          <w:sz w:val="22"/>
          <w:szCs w:val="22"/>
        </w:rPr>
      </w:pPr>
      <w:r>
        <w:rPr>
          <w:sz w:val="22"/>
          <w:szCs w:val="22"/>
        </w:rPr>
        <w:t>l’importance des conventions collectives du travail dans le droit social ;</w:t>
      </w:r>
    </w:p>
    <w:p>
      <w:pPr>
        <w:numPr>
          <w:ilvl w:val="0"/>
          <w:numId w:val="12"/>
        </w:numPr>
        <w:tabs>
          <w:tab w:val="left" w:pos="992"/>
          <w:tab w:val="left" w:pos="1068"/>
        </w:tabs>
        <w:spacing w:before="120"/>
        <w:ind w:left="992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se constituer une documentation actualisée utilisable dans la vie professionnelle.</w:t>
      </w:r>
    </w:p>
    <w:p>
      <w:pPr>
        <w:jc w:val="both"/>
        <w:rPr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4.3. Eléments de droit appliqué au secteur touristique</w:t>
      </w:r>
    </w:p>
    <w:p>
      <w:pPr>
        <w:jc w:val="both"/>
        <w:rPr>
          <w:b/>
          <w:bCs/>
          <w:iCs/>
          <w:sz w:val="22"/>
          <w:szCs w:val="22"/>
        </w:rPr>
      </w:pPr>
    </w:p>
    <w:p>
      <w:pPr>
        <w:numPr>
          <w:ilvl w:val="0"/>
          <w:numId w:val="16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d’identifier</w:t>
      </w:r>
      <w:r>
        <w:rPr>
          <w:sz w:val="22"/>
          <w:szCs w:val="22"/>
          <w:shd w:val="clear" w:color="auto" w:fill="FFFFFF" w:themeFill="background1"/>
          <w:lang w:val="fr-BE"/>
        </w:rPr>
        <w:t xml:space="preserve"> </w:t>
      </w:r>
      <w:r>
        <w:rPr>
          <w:sz w:val="22"/>
          <w:szCs w:val="22"/>
          <w:lang w:val="fr-BE"/>
        </w:rPr>
        <w:t>les missions juridiques des principales institutions du tourisme aux niveaux régional, national, européen et international ;</w:t>
      </w:r>
    </w:p>
    <w:p>
      <w:pPr>
        <w:numPr>
          <w:ilvl w:val="0"/>
          <w:numId w:val="16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d’analyser, en relation avec la théorie générale des contrats :</w:t>
      </w:r>
    </w:p>
    <w:p>
      <w:pPr>
        <w:numPr>
          <w:ilvl w:val="1"/>
          <w:numId w:val="16"/>
        </w:numPr>
        <w:tabs>
          <w:tab w:val="clear" w:pos="2015"/>
        </w:tabs>
        <w:autoSpaceDE w:val="0"/>
        <w:ind w:left="156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les pratiques commerciales propres aux activités touristiques nationales, européennes et internationales,</w:t>
      </w:r>
    </w:p>
    <w:p>
      <w:pPr>
        <w:numPr>
          <w:ilvl w:val="1"/>
          <w:numId w:val="16"/>
        </w:numPr>
        <w:tabs>
          <w:tab w:val="clear" w:pos="2015"/>
        </w:tabs>
        <w:autoSpaceDE w:val="0"/>
        <w:ind w:left="156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les réglementations en matière de transport des personnes,</w:t>
      </w:r>
    </w:p>
    <w:p>
      <w:pPr>
        <w:numPr>
          <w:ilvl w:val="1"/>
          <w:numId w:val="16"/>
        </w:numPr>
        <w:tabs>
          <w:tab w:val="clear" w:pos="2015"/>
        </w:tabs>
        <w:autoSpaceDE w:val="0"/>
        <w:ind w:left="156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les réglementations relatives à l’hébergement et aux attractions ;</w:t>
      </w:r>
    </w:p>
    <w:p>
      <w:pPr>
        <w:numPr>
          <w:ilvl w:val="0"/>
          <w:numId w:val="16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définir le rôle et le champ d’application de la Commission des Litiges.</w:t>
      </w:r>
    </w:p>
    <w:p>
      <w:pPr>
        <w:rPr>
          <w:b/>
          <w:sz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4.4. Assurances appliquées au tourisme</w:t>
      </w:r>
    </w:p>
    <w:p>
      <w:pPr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15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d’analyser les clauses essentielles des contrats d’assurances de dommage ;</w:t>
      </w:r>
    </w:p>
    <w:p>
      <w:pPr>
        <w:numPr>
          <w:ilvl w:val="0"/>
          <w:numId w:val="15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de les appliquer dans les domaines du tourisme et des loisirs : </w:t>
      </w:r>
    </w:p>
    <w:p>
      <w:pPr>
        <w:numPr>
          <w:ilvl w:val="0"/>
          <w:numId w:val="20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la responsabilité civile dans les relations avec les personnes,</w:t>
      </w:r>
    </w:p>
    <w:p>
      <w:pPr>
        <w:numPr>
          <w:ilvl w:val="0"/>
          <w:numId w:val="20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 tourisme réceptif (hébergement, centres d’attraction, organisation d’événements, …),</w:t>
      </w:r>
    </w:p>
    <w:p>
      <w:pPr>
        <w:numPr>
          <w:ilvl w:val="0"/>
          <w:numId w:val="20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les voyages : assurances du voyagiste (non exécution du contrat, contre-assurances) et voyageur (annulation, bagages, accident, assistance,…) ;</w:t>
      </w:r>
    </w:p>
    <w:p>
      <w:pPr>
        <w:pStyle w:val="Paragraphedeliste"/>
        <w:numPr>
          <w:ilvl w:val="0"/>
          <w:numId w:val="5"/>
        </w:numPr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d’identifier le rôle et le fonctionnement du fonds de garantie en matière de voyage.</w:t>
      </w:r>
    </w:p>
    <w:p>
      <w:pPr>
        <w:rPr>
          <w:b/>
          <w:sz w:val="22"/>
        </w:rPr>
      </w:pPr>
    </w:p>
    <w:p>
      <w:pPr>
        <w:jc w:val="both"/>
      </w:pPr>
    </w:p>
    <w:p>
      <w:pPr>
        <w:numPr>
          <w:ilvl w:val="0"/>
          <w:numId w:val="2"/>
        </w:numPr>
        <w:tabs>
          <w:tab w:val="num" w:pos="1134"/>
        </w:tabs>
        <w:jc w:val="both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284"/>
        <w:jc w:val="both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tabs>
          <w:tab w:val="center" w:pos="4677"/>
        </w:tabs>
        <w:ind w:left="284"/>
        <w:jc w:val="both"/>
        <w:rPr>
          <w:sz w:val="22"/>
        </w:rPr>
      </w:pPr>
      <w:r>
        <w:rPr>
          <w:sz w:val="22"/>
        </w:rPr>
        <w:t>Aucune recommandation particulière.</w:t>
      </w:r>
      <w:r>
        <w:rPr>
          <w:sz w:val="22"/>
        </w:rPr>
        <w:tab/>
      </w:r>
    </w:p>
    <w:p>
      <w:pPr>
        <w:tabs>
          <w:tab w:val="center" w:pos="4677"/>
        </w:tabs>
        <w:ind w:left="284"/>
        <w:jc w:val="both"/>
        <w:rPr>
          <w:sz w:val="22"/>
        </w:rPr>
      </w:pPr>
    </w:p>
    <w:p>
      <w:pPr>
        <w:tabs>
          <w:tab w:val="center" w:pos="4677"/>
        </w:tabs>
        <w:ind w:left="284"/>
        <w:jc w:val="both"/>
        <w:rPr>
          <w:sz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8965" w:type="dxa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37"/>
        <w:gridCol w:w="1417"/>
        <w:gridCol w:w="1856"/>
        <w:gridCol w:w="2255"/>
      </w:tblGrid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itre3"/>
              <w:spacing w:before="100" w:beforeAutospacing="1" w:after="100" w:afterAutospacing="1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>
              <w:rPr>
                <w:rFonts w:ascii="Times New Roman" w:hAnsi="Times New Roman"/>
                <w:bCs w:val="0"/>
                <w:sz w:val="22"/>
                <w:szCs w:val="22"/>
              </w:rPr>
              <w:t>Code U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bookmarkStart w:id="3" w:name="VOL"/>
            <w:bookmarkEnd w:id="3"/>
            <w:r>
              <w:rPr>
                <w:sz w:val="22"/>
                <w:szCs w:val="22"/>
              </w:rPr>
              <w:t>Eléments de droit civil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Sensibilisation à la législation du travail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Eléments de droit appliqué au secteur touristique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Assurances appliquées au tourisme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3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ind w:right="46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>
      <w:pPr>
        <w:snapToGrid w:val="0"/>
        <w:ind w:left="426"/>
        <w:rPr>
          <w:b/>
          <w:sz w:val="22"/>
          <w:szCs w:val="22"/>
        </w:rPr>
      </w:pPr>
    </w:p>
    <w:p>
      <w:pPr>
        <w:tabs>
          <w:tab w:val="center" w:pos="4677"/>
        </w:tabs>
        <w:ind w:left="284"/>
        <w:jc w:val="both"/>
      </w:pPr>
    </w:p>
    <w:sectPr>
      <w:headerReference w:type="even" r:id="rId9"/>
      <w:headerReference w:type="default" r:id="rId10"/>
      <w:footerReference w:type="default" r:id="rId11"/>
      <w:headerReference w:type="first" r:id="rId12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– UE : Droit appliqué au secteur touristique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2A208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"/>
      <w:lvlJc w:val="left"/>
      <w:pPr>
        <w:tabs>
          <w:tab w:val="num" w:pos="1134"/>
        </w:tabs>
      </w:pPr>
      <w:rPr>
        <w:rFonts w:ascii="Symbol" w:hAnsi="Symbol"/>
        <w:sz w:val="22"/>
      </w:rPr>
    </w:lvl>
  </w:abstractNum>
  <w:abstractNum w:abstractNumId="3" w15:restartNumberingAfterBreak="0">
    <w:nsid w:val="00000003"/>
    <w:multiLevelType w:val="singleLevel"/>
    <w:tmpl w:val="00000002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22"/>
        <w:szCs w:val="16"/>
      </w:rPr>
    </w:lvl>
  </w:abstractNum>
  <w:abstractNum w:abstractNumId="4" w15:restartNumberingAfterBreak="0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lvlText w:val="%1.%2."/>
      <w:lvlJc w:val="left"/>
      <w:pPr>
        <w:tabs>
          <w:tab w:val="num" w:pos="860"/>
        </w:tabs>
      </w:pPr>
    </w:lvl>
    <w:lvl w:ilvl="2">
      <w:start w:val="1"/>
      <w:numFmt w:val="decimal"/>
      <w:lvlText w:val="%1.%2.%3."/>
      <w:lvlJc w:val="left"/>
      <w:pPr>
        <w:tabs>
          <w:tab w:val="num" w:pos="1570"/>
        </w:tabs>
      </w:pPr>
    </w:lvl>
    <w:lvl w:ilvl="3">
      <w:start w:val="1"/>
      <w:numFmt w:val="decimal"/>
      <w:lvlText w:val="%1.%2.%3.%4."/>
      <w:lvlJc w:val="left"/>
      <w:pPr>
        <w:tabs>
          <w:tab w:val="num" w:pos="1995"/>
        </w:tabs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</w:pPr>
    </w:lvl>
  </w:abstractNum>
  <w:abstractNum w:abstractNumId="5" w15:restartNumberingAfterBreak="0">
    <w:nsid w:val="00000008"/>
    <w:multiLevelType w:val="singleLevel"/>
    <w:tmpl w:val="00000008"/>
    <w:lvl w:ilvl="0">
      <w:numFmt w:val="bullet"/>
      <w:lvlText w:val=""/>
      <w:lvlJc w:val="left"/>
      <w:pPr>
        <w:tabs>
          <w:tab w:val="num" w:pos="1134"/>
        </w:tabs>
      </w:pPr>
      <w:rPr>
        <w:rFonts w:ascii="Symbol" w:hAnsi="Symbol"/>
      </w:rPr>
    </w:lvl>
  </w:abstractNum>
  <w:abstractNum w:abstractNumId="6" w15:restartNumberingAfterBreak="0">
    <w:nsid w:val="1F843CAC"/>
    <w:multiLevelType w:val="hybridMultilevel"/>
    <w:tmpl w:val="DA860666"/>
    <w:lvl w:ilvl="0" w:tplc="2856BA34">
      <w:start w:val="5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  <w:sz w:val="22"/>
        <w:szCs w:val="22"/>
      </w:rPr>
    </w:lvl>
    <w:lvl w:ilvl="1" w:tplc="66FA01C4">
      <w:start w:val="5"/>
      <w:numFmt w:val="bullet"/>
      <w:lvlText w:val=""/>
      <w:lvlJc w:val="left"/>
      <w:pPr>
        <w:tabs>
          <w:tab w:val="num" w:pos="2015"/>
        </w:tabs>
        <w:ind w:left="2015" w:hanging="397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5A9012B"/>
    <w:multiLevelType w:val="hybridMultilevel"/>
    <w:tmpl w:val="FB9E80E8"/>
    <w:lvl w:ilvl="0" w:tplc="726C1308">
      <w:start w:val="1"/>
      <w:numFmt w:val="bullet"/>
      <w:lvlText w:val=""/>
      <w:lvlJc w:val="left"/>
      <w:pPr>
        <w:tabs>
          <w:tab w:val="num" w:pos="1616"/>
        </w:tabs>
        <w:ind w:left="1616" w:hanging="454"/>
      </w:pPr>
      <w:rPr>
        <w:rFonts w:ascii="Symbol" w:hAnsi="Symbol" w:hint="default"/>
        <w:sz w:val="16"/>
        <w:szCs w:val="22"/>
      </w:rPr>
    </w:lvl>
    <w:lvl w:ilvl="1" w:tplc="66FA01C4">
      <w:start w:val="5"/>
      <w:numFmt w:val="bullet"/>
      <w:lvlText w:val=""/>
      <w:lvlJc w:val="left"/>
      <w:pPr>
        <w:tabs>
          <w:tab w:val="num" w:pos="2469"/>
        </w:tabs>
        <w:ind w:left="2469" w:hanging="397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29D22A7C"/>
    <w:multiLevelType w:val="hybridMultilevel"/>
    <w:tmpl w:val="0972CDBA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77B29AA"/>
    <w:multiLevelType w:val="hybridMultilevel"/>
    <w:tmpl w:val="184426C2"/>
    <w:lvl w:ilvl="0" w:tplc="A6E8C5B6">
      <w:start w:val="5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  <w:sz w:val="22"/>
        <w:szCs w:val="22"/>
      </w:rPr>
    </w:lvl>
    <w:lvl w:ilvl="1" w:tplc="66FA01C4">
      <w:start w:val="5"/>
      <w:numFmt w:val="bullet"/>
      <w:lvlText w:val=""/>
      <w:lvlJc w:val="left"/>
      <w:pPr>
        <w:tabs>
          <w:tab w:val="num" w:pos="2015"/>
        </w:tabs>
        <w:ind w:left="2015" w:hanging="397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12" w15:restartNumberingAfterBreak="0">
    <w:nsid w:val="39EC4109"/>
    <w:multiLevelType w:val="hybridMultilevel"/>
    <w:tmpl w:val="918E5E96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1921A79"/>
    <w:multiLevelType w:val="hybridMultilevel"/>
    <w:tmpl w:val="83C81A90"/>
    <w:lvl w:ilvl="0" w:tplc="6322AAE6">
      <w:start w:val="1"/>
      <w:numFmt w:val="bullet"/>
      <w:lvlText w:val=""/>
      <w:lvlJc w:val="left"/>
      <w:pPr>
        <w:tabs>
          <w:tab w:val="num" w:pos="339"/>
        </w:tabs>
        <w:ind w:left="1332" w:hanging="283"/>
      </w:pPr>
      <w:rPr>
        <w:rFonts w:ascii="Symbol" w:hAnsi="Symbol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FE6068"/>
    <w:multiLevelType w:val="hybridMultilevel"/>
    <w:tmpl w:val="64FC8DAC"/>
    <w:lvl w:ilvl="0" w:tplc="726C1308">
      <w:start w:val="1"/>
      <w:numFmt w:val="bullet"/>
      <w:lvlText w:val=""/>
      <w:lvlJc w:val="left"/>
      <w:pPr>
        <w:tabs>
          <w:tab w:val="num" w:pos="1353"/>
        </w:tabs>
        <w:ind w:left="1333" w:hanging="34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15" w15:restartNumberingAfterBreak="0">
    <w:nsid w:val="62BC2248"/>
    <w:multiLevelType w:val="hybridMultilevel"/>
    <w:tmpl w:val="7DEADA74"/>
    <w:lvl w:ilvl="0" w:tplc="2856BA34">
      <w:start w:val="5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  <w:sz w:val="22"/>
        <w:szCs w:val="22"/>
      </w:rPr>
    </w:lvl>
    <w:lvl w:ilvl="1" w:tplc="66FA01C4">
      <w:start w:val="5"/>
      <w:numFmt w:val="bullet"/>
      <w:lvlText w:val=""/>
      <w:lvlJc w:val="left"/>
      <w:pPr>
        <w:tabs>
          <w:tab w:val="num" w:pos="2015"/>
        </w:tabs>
        <w:ind w:left="2015" w:hanging="397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16" w15:restartNumberingAfterBreak="0">
    <w:nsid w:val="71E94DCC"/>
    <w:multiLevelType w:val="hybridMultilevel"/>
    <w:tmpl w:val="8E5E3432"/>
    <w:lvl w:ilvl="0" w:tplc="726C1308">
      <w:start w:val="1"/>
      <w:numFmt w:val="bullet"/>
      <w:lvlText w:val=""/>
      <w:lvlJc w:val="left"/>
      <w:pPr>
        <w:tabs>
          <w:tab w:val="num" w:pos="339"/>
        </w:tabs>
        <w:ind w:left="1332" w:hanging="283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77E7BDB"/>
    <w:multiLevelType w:val="hybridMultilevel"/>
    <w:tmpl w:val="8CDC73B0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3"/>
  </w:num>
  <w:num w:numId="5">
    <w:abstractNumId w:val="12"/>
  </w:num>
  <w:num w:numId="6">
    <w:abstractNumId w:val="9"/>
  </w:num>
  <w:num w:numId="7">
    <w:abstractNumId w:val="17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3544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14"/>
  </w:num>
  <w:num w:numId="12">
    <w:abstractNumId w:val="2"/>
  </w:num>
  <w:num w:numId="13">
    <w:abstractNumId w:val="13"/>
  </w:num>
  <w:num w:numId="14">
    <w:abstractNumId w:val="5"/>
  </w:num>
  <w:num w:numId="15">
    <w:abstractNumId w:val="11"/>
  </w:num>
  <w:num w:numId="16">
    <w:abstractNumId w:val="6"/>
  </w:num>
  <w:num w:numId="17">
    <w:abstractNumId w:val="15"/>
  </w:num>
  <w:num w:numId="18">
    <w:abstractNumId w:val="6"/>
  </w:num>
  <w:num w:numId="19">
    <w:abstractNumId w:val="16"/>
  </w:num>
  <w:num w:numId="20">
    <w:abstractNumId w:val="8"/>
  </w:num>
  <w:num w:numId="2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A0EC9EA-DCAB-48AC-AEF7-A4FADB82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/>
      <w:sz w:val="24"/>
      <w:szCs w:val="24"/>
      <w:lang w:val="fr-FR" w:eastAsia="ar-SA"/>
    </w:rPr>
  </w:style>
  <w:style w:type="character" w:customStyle="1" w:styleId="Titre2Car">
    <w:name w:val="Titre 2 Car"/>
    <w:link w:val="Titre2"/>
    <w:uiPriority w:val="99"/>
    <w:locked/>
    <w:rPr>
      <w:rFonts w:ascii="Times New Roman" w:hAnsi="Times New Roman"/>
      <w:b/>
      <w:bCs/>
      <w:lang w:val="fr-FR" w:eastAsia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BA8CC31D-AE5F-4262-BBCF-B5453E76D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331094-197E-44BD-9AC8-E95C7D78BD42}"/>
</file>

<file path=customXml/itemProps3.xml><?xml version="1.0" encoding="utf-8"?>
<ds:datastoreItem xmlns:ds="http://schemas.openxmlformats.org/officeDocument/2006/customXml" ds:itemID="{986B30D5-8A76-42D1-8A7E-51541FFEEC7C}"/>
</file>

<file path=customXml/itemProps4.xml><?xml version="1.0" encoding="utf-8"?>
<ds:datastoreItem xmlns:ds="http://schemas.openxmlformats.org/officeDocument/2006/customXml" ds:itemID="{2D36498B-E0D8-4B9B-A4EA-9DE1E21AAD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906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Ferdinand Cocq Ixelles</Company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goulet02</cp:lastModifiedBy>
  <cp:revision>9</cp:revision>
  <dcterms:created xsi:type="dcterms:W3CDTF">2016-04-28T08:33:00Z</dcterms:created>
  <dcterms:modified xsi:type="dcterms:W3CDTF">2017-08-18T07:36:00Z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