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8FF" w:rsidRDefault="00FB35EE">
      <w:pPr>
        <w:pStyle w:val="Texte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 w:rsidR="00AB48FF" w:rsidRDefault="00AB48FF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 w:rsidR="00AB48FF" w:rsidRDefault="00FB35EE"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 w:rsidR="00AB48FF" w:rsidRDefault="00AB48FF"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 w:rsidR="00AB48FF" w:rsidRDefault="00FB35EE"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AB48FF"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 w:rsidR="00AB48FF" w:rsidRDefault="00FB35EE"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 w:rsidR="00AB48FF" w:rsidRDefault="00AB48FF">
      <w:pPr>
        <w:pStyle w:val="Titre1"/>
      </w:pPr>
    </w:p>
    <w:p w:rsidR="00AB48FF" w:rsidRDefault="00AB48FF"/>
    <w:p w:rsidR="00AB48FF" w:rsidRDefault="00AB48FF"/>
    <w:p w:rsidR="00AB48FF" w:rsidRDefault="00FB35EE">
      <w:pPr>
        <w:pStyle w:val="Titre2"/>
        <w:rPr>
          <w:caps/>
        </w:rPr>
      </w:pPr>
      <w:r>
        <w:t>UNITE D'ENSEIGNEMENT</w:t>
      </w:r>
    </w:p>
    <w:p w:rsidR="00AB48FF" w:rsidRDefault="00AB48FF">
      <w:pPr>
        <w:jc w:val="center"/>
        <w:rPr>
          <w:b/>
          <w:bCs/>
        </w:rPr>
      </w:pPr>
    </w:p>
    <w:p w:rsidR="00AB48FF" w:rsidRDefault="00AB48FF">
      <w:pPr>
        <w:jc w:val="center"/>
        <w:rPr>
          <w:b/>
          <w:bCs/>
        </w:rPr>
      </w:pPr>
    </w:p>
    <w:p w:rsidR="00AB48FF" w:rsidRDefault="00AB48FF">
      <w:pPr>
        <w:jc w:val="center"/>
        <w:rPr>
          <w:b/>
          <w:bCs/>
        </w:rPr>
      </w:pPr>
    </w:p>
    <w:p w:rsidR="00AB48FF" w:rsidRDefault="00FB35E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RESISTANCE DES MATERIAUX</w:t>
      </w:r>
    </w:p>
    <w:p w:rsidR="00AB48FF" w:rsidRDefault="00AB48FF">
      <w:pPr>
        <w:jc w:val="center"/>
        <w:rPr>
          <w:b/>
          <w:bCs/>
          <w:sz w:val="36"/>
          <w:szCs w:val="36"/>
        </w:rPr>
      </w:pPr>
    </w:p>
    <w:p w:rsidR="00AB48FF" w:rsidRDefault="00FB35E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 w:rsidR="00AB48FF" w:rsidRDefault="00AB48FF">
      <w:pPr>
        <w:jc w:val="center"/>
        <w:rPr>
          <w:b/>
          <w:bCs/>
          <w:sz w:val="22"/>
          <w:szCs w:val="22"/>
        </w:rPr>
      </w:pPr>
    </w:p>
    <w:p w:rsidR="00AB48FF" w:rsidRDefault="00AB48FF">
      <w:pPr>
        <w:jc w:val="center"/>
        <w:rPr>
          <w:b/>
          <w:bCs/>
          <w:sz w:val="22"/>
          <w:szCs w:val="22"/>
        </w:rPr>
      </w:pPr>
    </w:p>
    <w:p w:rsidR="00AB48FF" w:rsidRDefault="00FB35E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 w:rsidR="00AB48FF" w:rsidRDefault="00AB48FF">
      <w:pPr>
        <w:rPr>
          <w:b/>
          <w:bCs/>
        </w:rPr>
      </w:pPr>
    </w:p>
    <w:p w:rsidR="00AB48FF" w:rsidRDefault="00AB48FF">
      <w:pPr>
        <w:jc w:val="center"/>
        <w:rPr>
          <w:b/>
          <w:bCs/>
        </w:rPr>
      </w:pPr>
    </w:p>
    <w:p w:rsidR="00AB48FF" w:rsidRDefault="00AB48FF">
      <w:pPr>
        <w:jc w:val="center"/>
        <w:rPr>
          <w:b/>
          <w:bCs/>
        </w:rPr>
      </w:pPr>
    </w:p>
    <w:p w:rsidR="00AB48FF" w:rsidRDefault="00AB48FF"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AB48FF">
        <w:tc>
          <w:tcPr>
            <w:tcW w:w="5529" w:type="dxa"/>
            <w:tcBorders>
              <w:top w:val="single" w:sz="6" w:space="0" w:color="auto"/>
            </w:tcBorders>
          </w:tcPr>
          <w:p w:rsidR="00AB48FF" w:rsidRDefault="00FB35EE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23 62 02 U31 D1</w:t>
            </w:r>
          </w:p>
        </w:tc>
      </w:tr>
      <w:tr w:rsidR="00AB48FF">
        <w:tc>
          <w:tcPr>
            <w:tcW w:w="5529" w:type="dxa"/>
          </w:tcPr>
          <w:p w:rsidR="00AB48FF" w:rsidRDefault="00FB35EE"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206</w:t>
            </w:r>
          </w:p>
        </w:tc>
      </w:tr>
      <w:tr w:rsidR="00AB48FF">
        <w:tc>
          <w:tcPr>
            <w:tcW w:w="5529" w:type="dxa"/>
            <w:tcBorders>
              <w:bottom w:val="single" w:sz="6" w:space="0" w:color="auto"/>
            </w:tcBorders>
          </w:tcPr>
          <w:p w:rsidR="00AB48FF" w:rsidRDefault="00FB35EE"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 w:rsidR="00AB48FF" w:rsidRDefault="00AB48FF"/>
    <w:p w:rsidR="00AB48FF" w:rsidRDefault="00AB48FF"/>
    <w:p w:rsidR="00AB48FF" w:rsidRDefault="00AB48FF"/>
    <w:p w:rsidR="00AB48FF" w:rsidRDefault="00AB48FF"/>
    <w:p w:rsidR="00AB48FF" w:rsidRDefault="00AB48FF"/>
    <w:p w:rsidR="00AB48FF" w:rsidRDefault="00AB48FF"/>
    <w:p w:rsidR="00AB48FF" w:rsidRDefault="00FB35EE"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 xml:space="preserve">la </w:t>
        </w:r>
        <w:r>
          <w:rPr>
            <w:b/>
          </w:rPr>
          <w:t>Communauté</w:t>
        </w:r>
      </w:smartTag>
      <w:r>
        <w:rPr>
          <w:b/>
        </w:rPr>
        <w:t xml:space="preserve"> française du............,</w:t>
      </w:r>
    </w:p>
    <w:p w:rsidR="00AB48FF" w:rsidRDefault="00FB35EE">
      <w:pPr>
        <w:jc w:val="center"/>
        <w:rPr>
          <w:b/>
        </w:rPr>
      </w:pPr>
      <w:r>
        <w:rPr>
          <w:b/>
        </w:rPr>
        <w:t>sur avis conforme du Conseil général</w:t>
      </w:r>
    </w:p>
    <w:p w:rsidR="00AB48FF" w:rsidRDefault="00FB35EE"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AB48FF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AB48FF" w:rsidRDefault="00AB48FF"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 w:rsidR="00AB48FF" w:rsidRDefault="00FB35E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RESISTANCE DES MATERIAUX</w:t>
            </w:r>
          </w:p>
          <w:p w:rsidR="00AB48FF" w:rsidRDefault="00AB48FF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AB48FF" w:rsidRDefault="00FB35EE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 w:rsidR="00AB48FF" w:rsidRDefault="00AB48FF">
            <w:pPr>
              <w:rPr>
                <w:b/>
                <w:sz w:val="28"/>
              </w:rPr>
            </w:pPr>
          </w:p>
        </w:tc>
      </w:tr>
    </w:tbl>
    <w:p w:rsidR="00AB48FF" w:rsidRDefault="00AB48FF">
      <w:pPr>
        <w:spacing w:after="120"/>
        <w:jc w:val="both"/>
      </w:pPr>
    </w:p>
    <w:p w:rsidR="00AB48FF" w:rsidRDefault="00FB35EE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 w:rsidR="00AB48FF" w:rsidRDefault="00FB35EE"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 w:rsidR="00AB48FF" w:rsidRDefault="00FB35EE"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la Communauté </w:t>
      </w:r>
      <w:r>
        <w:rPr>
          <w:sz w:val="22"/>
          <w:szCs w:val="22"/>
        </w:rPr>
        <w:t>française du 16 avril 1991 organisant l'enseignement de promotion sociale, cette unité d'enseignement doit :</w:t>
      </w:r>
    </w:p>
    <w:p w:rsidR="00AB48FF" w:rsidRDefault="00FB35EE"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 w:rsidR="00AB48FF" w:rsidRDefault="00FB35EE"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 w:rsidR="00AB48FF" w:rsidRDefault="00FB35EE"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 w:rsidR="00AB48FF" w:rsidRDefault="00FB35EE"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 w:rsidR="00AB48FF" w:rsidRDefault="00FB35EE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d’intégrer des visions de l’espace et de leurs représentations ;</w:t>
      </w:r>
    </w:p>
    <w:p w:rsidR="00AB48FF" w:rsidRDefault="00FB35EE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caractériser les sollicitations simples, de formuler les lois régissant ces sollicitations et d’appliquer ces lois à des exercices pratiques ;</w:t>
      </w:r>
    </w:p>
    <w:p w:rsidR="00AB48FF" w:rsidRDefault="00FB35EE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des problèmes de détermination de</w:t>
      </w:r>
      <w:r>
        <w:rPr>
          <w:sz w:val="22"/>
          <w:szCs w:val="22"/>
        </w:rPr>
        <w:t xml:space="preserve"> contraintes dans un solide sur base des forces extérieures appliquées ;</w:t>
      </w:r>
    </w:p>
    <w:p w:rsidR="00AB48FF" w:rsidRDefault="00FB35EE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d’appliquer des caractéristiques géométriques sur des matériaux couramment rencontrés dans le domaine de la résistance des matériaux ;</w:t>
      </w:r>
    </w:p>
    <w:p w:rsidR="00AB48FF" w:rsidRDefault="00FB35EE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tracer le diagramme des efforts tranchants et</w:t>
      </w:r>
      <w:r>
        <w:rPr>
          <w:sz w:val="22"/>
          <w:szCs w:val="22"/>
        </w:rPr>
        <w:t xml:space="preserve"> des moments fléchissants pour une poutre isostatique reposant sur deux appuis ;</w:t>
      </w:r>
    </w:p>
    <w:p w:rsidR="00AB48FF" w:rsidRDefault="00FB35EE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de la résistance des matériaux.</w:t>
      </w:r>
    </w:p>
    <w:p w:rsidR="00AB48FF" w:rsidRDefault="00AB48FF">
      <w:pPr>
        <w:suppressAutoHyphens w:val="0"/>
        <w:spacing w:after="120"/>
        <w:ind w:left="851"/>
        <w:jc w:val="both"/>
        <w:rPr>
          <w:sz w:val="22"/>
          <w:szCs w:val="22"/>
        </w:rPr>
      </w:pPr>
    </w:p>
    <w:p w:rsidR="00AB48FF" w:rsidRDefault="00FB35EE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 w:rsidR="00AB48FF" w:rsidRDefault="00FB35EE"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 w:rsidR="00AB48FF" w:rsidRDefault="00FB35EE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d’une situation professionnelle relevant du </w:t>
      </w:r>
      <w:r>
        <w:rPr>
          <w:i/>
          <w:sz w:val="22"/>
          <w:szCs w:val="22"/>
        </w:rPr>
        <w:t>domaine des sciences de l’ingénieur industriel proposée par le Conseil des études,</w:t>
      </w:r>
    </w:p>
    <w:p w:rsidR="00AB48FF" w:rsidRDefault="00FB35EE">
      <w:pPr>
        <w:spacing w:after="120"/>
        <w:ind w:left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normes en vigueur, des consignes données :</w:t>
      </w:r>
    </w:p>
    <w:p w:rsidR="00AB48FF" w:rsidRDefault="00FB35EE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l’analyser au regard de la documentation fournie ;</w:t>
      </w:r>
    </w:p>
    <w:p w:rsidR="00AB48FF" w:rsidRDefault="00FB35EE">
      <w:pPr>
        <w:numPr>
          <w:ilvl w:val="0"/>
          <w:numId w:val="4"/>
        </w:numPr>
        <w:tabs>
          <w:tab w:val="num" w:pos="851"/>
        </w:tabs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 les résultats de cette analyse en mettant e</w:t>
      </w:r>
      <w:r>
        <w:rPr>
          <w:sz w:val="22"/>
          <w:szCs w:val="22"/>
        </w:rPr>
        <w:t>n évidence :</w:t>
      </w:r>
    </w:p>
    <w:p w:rsidR="00AB48FF" w:rsidRDefault="00FB35EE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connaissance suffisante et l’utilisation pertinente des concepts scientifiques et technologiques,</w:t>
      </w:r>
    </w:p>
    <w:p w:rsidR="00AB48FF" w:rsidRDefault="00FB35EE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à développer une réflexion critique,</w:t>
      </w:r>
    </w:p>
    <w:p w:rsidR="00AB48FF" w:rsidRDefault="00FB35EE">
      <w:pPr>
        <w:numPr>
          <w:ilvl w:val="0"/>
          <w:numId w:val="5"/>
        </w:numPr>
        <w:tabs>
          <w:tab w:val="clear" w:pos="2509"/>
          <w:tab w:val="num" w:pos="1418"/>
        </w:tabs>
        <w:suppressAutoHyphens w:val="0"/>
        <w:spacing w:after="120"/>
        <w:ind w:left="1418" w:hanging="284"/>
        <w:jc w:val="both"/>
        <w:rPr>
          <w:sz w:val="22"/>
          <w:szCs w:val="22"/>
        </w:rPr>
      </w:pPr>
      <w:r>
        <w:rPr>
          <w:sz w:val="22"/>
          <w:szCs w:val="22"/>
        </w:rPr>
        <w:t>sa capacité d’évaluer sa démarche sur les difficultés qu’il a rencontrées.</w:t>
      </w:r>
    </w:p>
    <w:p w:rsidR="00AB48FF" w:rsidRDefault="00FB35EE"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</w:t>
      </w:r>
      <w:r>
        <w:rPr>
          <w:b/>
          <w:sz w:val="22"/>
          <w:szCs w:val="22"/>
        </w:rPr>
        <w:t>enir lieu</w:t>
      </w:r>
    </w:p>
    <w:p w:rsidR="00AB48FF" w:rsidRDefault="00FB35EE">
      <w:pPr>
        <w:pStyle w:val="1"/>
        <w:ind w:left="792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Un Grade de Bachelier, parmi ceux listés dans la législation en vigueur pour l’accès aux sections de Masters en sciences de l’ingénieur industriel – orientations : chimie, électronique ou électromécanique ou assimilés : annexe à l’Arrêté du Gouve</w:t>
      </w:r>
      <w:r>
        <w:rPr>
          <w:b w:val="0"/>
          <w:sz w:val="22"/>
          <w:szCs w:val="22"/>
        </w:rPr>
        <w:t>rnement de la communauté française du 28 août 2018 modifiant l’Arrêté du Gouvernement de la communauté française du 30 août 2017 pris en application de l’article 111§2, 1° du Décret du 7 novembre 2013 définissant le paysage de l’enseignement supérieur et l</w:t>
      </w:r>
      <w:r>
        <w:rPr>
          <w:b w:val="0"/>
          <w:sz w:val="22"/>
          <w:szCs w:val="22"/>
        </w:rPr>
        <w:t>’organisation académique des études.</w:t>
      </w:r>
    </w:p>
    <w:p w:rsidR="00AB48FF" w:rsidRDefault="00AB48FF">
      <w:pPr>
        <w:pStyle w:val="1"/>
        <w:ind w:left="792" w:firstLine="0"/>
        <w:jc w:val="both"/>
        <w:rPr>
          <w:b w:val="0"/>
          <w:sz w:val="22"/>
          <w:szCs w:val="22"/>
        </w:rPr>
      </w:pPr>
    </w:p>
    <w:p w:rsidR="00AB48FF" w:rsidRDefault="00FB35EE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 w:rsidR="00AB48FF" w:rsidRDefault="00FB35EE"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bookmarkStart w:id="3" w:name="_Hlk30519558"/>
      <w:r>
        <w:rPr>
          <w:i/>
          <w:sz w:val="22"/>
          <w:szCs w:val="22"/>
        </w:rPr>
        <w:t>à partir d’une application technique ou scientifique relevant du domaine des sciences de l’ingénieur industriel et issue de la vie p</w:t>
      </w:r>
      <w:r>
        <w:rPr>
          <w:i/>
          <w:sz w:val="22"/>
          <w:szCs w:val="22"/>
        </w:rPr>
        <w:t>rofessionnelle,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</w:t>
      </w:r>
      <w:r>
        <w:rPr>
          <w:i/>
          <w:sz w:val="22"/>
          <w:szCs w:val="22"/>
        </w:rPr>
        <w:t>développant des compétences d’esprit critique,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bookmarkEnd w:id="3"/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représenter une pièce mécanique issue de l’application technique proposée par ses projections planes et son habillage ;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d’identifier sur l’applic</w:t>
      </w:r>
      <w:r>
        <w:rPr>
          <w:sz w:val="22"/>
          <w:szCs w:val="22"/>
        </w:rPr>
        <w:t>ation technique proposée, une pièce soumise à la traction et une autre pièce soumise à la flexion simple en justifiant ses choix</w:t>
      </w:r>
      <w:bookmarkStart w:id="4" w:name="_Hlk31037849"/>
      <w:r>
        <w:rPr>
          <w:sz w:val="22"/>
          <w:szCs w:val="22"/>
        </w:rPr>
        <w:t> </w:t>
      </w:r>
      <w:bookmarkEnd w:id="4"/>
      <w:r>
        <w:rPr>
          <w:sz w:val="22"/>
          <w:szCs w:val="22"/>
        </w:rPr>
        <w:t>;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dimensionner la pièce soumise à la flexion simple en fonction des charges appliquées ;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calculer les contraintes associé</w:t>
      </w:r>
      <w:r>
        <w:rPr>
          <w:sz w:val="22"/>
          <w:szCs w:val="22"/>
        </w:rPr>
        <w:t>es à la sollicitation rencontrée ;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d’évaluer les efforts tranchants et les moments fléchissants de la pièce concernée.</w:t>
      </w:r>
    </w:p>
    <w:p w:rsidR="00AB48FF" w:rsidRDefault="00FB35EE"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</w:t>
      </w:r>
      <w:r>
        <w:rPr>
          <w:sz w:val="22"/>
          <w:szCs w:val="22"/>
        </w:rPr>
        <w:t>ajorité de liens logiques pour former un ensemble organisé,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d’intégration : la capacité à s’approprier des </w:t>
      </w:r>
      <w:r>
        <w:rPr>
          <w:sz w:val="22"/>
          <w:szCs w:val="22"/>
        </w:rPr>
        <w:t>notions, concepts, techniques et démarches en les intégrant dans son analyse, son argumentation, sa pratique ou la recherche de solutions,</w:t>
      </w:r>
    </w:p>
    <w:p w:rsidR="00AB48FF" w:rsidRDefault="00FB35EE"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</w:t>
      </w:r>
      <w:r>
        <w:rPr>
          <w:sz w:val="22"/>
          <w:szCs w:val="22"/>
        </w:rPr>
        <w:t>loitation des ressources et des idées en interdépendance avec son environnement.</w:t>
      </w:r>
    </w:p>
    <w:p w:rsidR="00AB48FF" w:rsidRDefault="00AB48FF">
      <w:pPr>
        <w:spacing w:after="120"/>
        <w:ind w:left="360"/>
        <w:jc w:val="both"/>
        <w:rPr>
          <w:b/>
          <w:sz w:val="22"/>
          <w:szCs w:val="22"/>
        </w:rPr>
      </w:pPr>
    </w:p>
    <w:p w:rsidR="00AB48FF" w:rsidRDefault="00FB35EE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 w:rsidR="00AB48FF" w:rsidRDefault="00FB35EE"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ou scientifiques relevant du domaine des sciences de l’ingénieur industriel et issues de la vie profess</w:t>
      </w:r>
      <w:r>
        <w:rPr>
          <w:i/>
          <w:sz w:val="22"/>
          <w:szCs w:val="22"/>
        </w:rPr>
        <w:t>ionnelle,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 ou en équipe,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r>
        <w:rPr>
          <w:i/>
          <w:sz w:val="22"/>
          <w:szCs w:val="22"/>
        </w:rPr>
        <w:lastRenderedPageBreak/>
        <w:t>en développant des compétences de communication orale et écrite en langue française et/ou en langue anglais</w:t>
      </w:r>
      <w:r>
        <w:rPr>
          <w:i/>
          <w:sz w:val="22"/>
          <w:szCs w:val="22"/>
        </w:rPr>
        <w:t>e en recourant aux outils numériques collaboratifs (cloud …),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 w:rsidR="00AB48FF" w:rsidRDefault="00FB35EE"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représenter une pièce mécanique en trois dimensions en dessinant ses projections planes et/ou des coupes et sections les plus représentatives avec son habillage adéquat ; 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rechercher la vraie grandeur d’une section coupée par un plan debout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diff</w:t>
      </w:r>
      <w:r>
        <w:rPr>
          <w:sz w:val="22"/>
          <w:szCs w:val="22"/>
        </w:rPr>
        <w:t>érencier les diverses sollicitations simples comme la traction, la compression, le cisaillement, la torsion, la flexion et le flambage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représenter les contraintes normale et tangentielle d’une force appliquée en un point de la section d’une poutre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>
        <w:rPr>
          <w:sz w:val="22"/>
          <w:szCs w:val="22"/>
        </w:rPr>
        <w:t>e déterminer la répartition des contraintes dans une section de poutre sollicitée à la traction, à la compression, au cisaillement, à la torsion et à la flexion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calculer la condition de résistance (formule) pour une poutre sollicitée à la traction, à </w:t>
      </w:r>
      <w:r>
        <w:rPr>
          <w:sz w:val="22"/>
          <w:szCs w:val="22"/>
        </w:rPr>
        <w:t>la compression, au cisaillement, à la torsion et à la flexion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dimensionner une poutre sollicitée à la traction, à la compression, au cisaillement, à la torsion et à la flexion en tenant compte d’un coefficient de sécurité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calculer les réactions a</w:t>
      </w:r>
      <w:r>
        <w:rPr>
          <w:sz w:val="22"/>
          <w:szCs w:val="22"/>
        </w:rPr>
        <w:t>ux appuis d’une poutre isostatique (une ou plusieurs charges, uniformément réparties) en recourant aux concepts d’efforts tranchants et des moments fléchissants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d’interpréter un diagramme de traction dans le domaine élastique et dans le domaine permanent</w:t>
      </w:r>
      <w:r>
        <w:rPr>
          <w:sz w:val="22"/>
          <w:szCs w:val="22"/>
        </w:rPr>
        <w:t xml:space="preserve"> pour différents matériaux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d’appliquer le principe de superposition pour décomposer les sollicitations complexes en sollicitations simples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calculer des caractéristiques géométriques (le moment d’inertie, le module de flexion, le rayon de giration, l</w:t>
      </w:r>
      <w:r>
        <w:rPr>
          <w:sz w:val="22"/>
          <w:szCs w:val="22"/>
        </w:rPr>
        <w:t xml:space="preserve">e centre de gravité,…) de différentes sections </w:t>
      </w:r>
      <w:bookmarkStart w:id="5" w:name="_Hlk33626828"/>
      <w:r>
        <w:rPr>
          <w:sz w:val="22"/>
          <w:szCs w:val="22"/>
        </w:rPr>
        <w:t>(en U, en L, en T, en I,…)</w:t>
      </w:r>
      <w:bookmarkEnd w:id="5"/>
      <w:r>
        <w:rPr>
          <w:sz w:val="22"/>
          <w:szCs w:val="22"/>
        </w:rPr>
        <w:t> ;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définir le flambage, la charge d’Euler et la contrainte critique ; </w:t>
      </w:r>
    </w:p>
    <w:p w:rsidR="00AB48FF" w:rsidRDefault="00FB35EE"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dimensionner une poutre sollicitée au flambage en tenant compte d’un coefficient de sécurité</w:t>
      </w:r>
      <w:r>
        <w:rPr>
          <w:sz w:val="30"/>
          <w:szCs w:val="30"/>
        </w:rPr>
        <w:t>.</w:t>
      </w:r>
    </w:p>
    <w:p w:rsidR="00AB48FF" w:rsidRDefault="00AB48FF"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 w:rsidR="00AB48FF" w:rsidRDefault="00FB35EE"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</w:t>
      </w:r>
      <w:r>
        <w:rPr>
          <w:b/>
          <w:sz w:val="22"/>
          <w:szCs w:val="22"/>
        </w:rPr>
        <w:t>N DES GROUPES OU REGROUPEMENT</w:t>
      </w:r>
    </w:p>
    <w:p w:rsidR="00AB48FF" w:rsidRDefault="00FB35EE"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Aucune recommandation particulière.</w:t>
      </w:r>
    </w:p>
    <w:p w:rsidR="00AB48FF" w:rsidRDefault="00AB48FF"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 w:rsidR="00AB48FF" w:rsidRDefault="00AB48FF"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 w:rsidR="00AB48FF" w:rsidRDefault="00FB35EE"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 w:rsidR="00AB48FF" w:rsidRDefault="00FB35EE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 w:rsidR="00AB48FF" w:rsidRDefault="00FB35EE"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L’expert devra justifier de compétences particulières issues d’une expérience professionnelle actualisée en relation </w:t>
      </w:r>
      <w:r>
        <w:rPr>
          <w:sz w:val="22"/>
          <w:szCs w:val="22"/>
        </w:rPr>
        <w:t>avec la charge de cours qui lui est attribuée.</w:t>
      </w:r>
    </w:p>
    <w:p w:rsidR="00AB48FF" w:rsidRDefault="00FB35E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AB48FF" w:rsidRDefault="00FB35EE"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lastRenderedPageBreak/>
        <w:t>HORAIRE MINIMUM DE L’UNITE D'ENSEIGNEMENT</w:t>
      </w:r>
    </w:p>
    <w:p w:rsidR="00AB48FF" w:rsidRDefault="00AB48FF"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1843"/>
        <w:gridCol w:w="1701"/>
        <w:gridCol w:w="1843"/>
      </w:tblGrid>
      <w:tr w:rsidR="00AB48FF">
        <w:trPr>
          <w:cantSplit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8FF" w:rsidRDefault="00FB35EE"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8FF" w:rsidRDefault="00FB35EE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8FF" w:rsidRDefault="00FB35EE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  <w:p w:rsidR="00AB48FF" w:rsidRDefault="00AB48FF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B48FF" w:rsidRDefault="00FB35EE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 w:rsidR="00AB48FF">
        <w:trPr>
          <w:cantSplit/>
        </w:trPr>
        <w:tc>
          <w:tcPr>
            <w:tcW w:w="3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AB48FF" w:rsidRDefault="00FB3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Résistance des matériaux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48FF" w:rsidRDefault="00FB3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48FF" w:rsidRDefault="00FB3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48FF" w:rsidRDefault="00FB3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AB48FF">
        <w:trPr>
          <w:cantSplit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48FF" w:rsidRDefault="00FB35E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48FF" w:rsidRDefault="00FB3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48FF" w:rsidRDefault="00FB3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B48FF">
        <w:trPr>
          <w:cantSplit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B48FF" w:rsidRDefault="00FB35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B48FF" w:rsidRDefault="00FB35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 w:rsidR="00AB48FF" w:rsidRDefault="00AB48FF">
      <w:pPr>
        <w:ind w:left="284"/>
        <w:jc w:val="both"/>
        <w:rPr>
          <w:sz w:val="24"/>
          <w:lang w:eastAsia="fr-FR"/>
        </w:rPr>
      </w:pPr>
    </w:p>
    <w:p w:rsidR="00AB48FF" w:rsidRDefault="00AB48FF">
      <w:pPr>
        <w:spacing w:after="120"/>
        <w:ind w:left="708" w:hanging="708"/>
        <w:jc w:val="both"/>
        <w:rPr>
          <w:sz w:val="22"/>
        </w:rPr>
      </w:pPr>
    </w:p>
    <w:sectPr w:rsidR="00AB48FF"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5EE" w:rsidRDefault="00FB35EE">
      <w:r>
        <w:separator/>
      </w:r>
    </w:p>
  </w:endnote>
  <w:endnote w:type="continuationSeparator" w:id="0">
    <w:p w:rsidR="00FB35EE" w:rsidRDefault="00FB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FF" w:rsidRDefault="00FB35EE"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Résistance</w:t>
    </w:r>
    <w:r>
      <w:rPr>
        <w:color w:val="002060"/>
        <w:sz w:val="18"/>
        <w:szCs w:val="18"/>
      </w:rPr>
      <w:t xml:space="preserve"> des matériaux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352138">
              <w:rPr>
                <w:bCs/>
                <w:noProof/>
                <w:color w:val="002060"/>
                <w:sz w:val="18"/>
                <w:szCs w:val="18"/>
              </w:rPr>
              <w:t>2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 w:rsidR="00352138">
              <w:rPr>
                <w:bCs/>
                <w:noProof/>
                <w:color w:val="002060"/>
                <w:sz w:val="18"/>
                <w:szCs w:val="18"/>
              </w:rPr>
              <w:t>5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5EE" w:rsidRDefault="00FB35EE">
      <w:r>
        <w:separator/>
      </w:r>
    </w:p>
  </w:footnote>
  <w:footnote w:type="continuationSeparator" w:id="0">
    <w:p w:rsidR="00FB35EE" w:rsidRDefault="00FB3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F81714"/>
    <w:multiLevelType w:val="hybridMultilevel"/>
    <w:tmpl w:val="3F3895F4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A300C8A"/>
    <w:multiLevelType w:val="hybridMultilevel"/>
    <w:tmpl w:val="6178D50E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32236F9"/>
    <w:multiLevelType w:val="hybridMultilevel"/>
    <w:tmpl w:val="5CC0B27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225BD1"/>
    <w:multiLevelType w:val="hybridMultilevel"/>
    <w:tmpl w:val="59DCCF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18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40FFE"/>
    <w:multiLevelType w:val="hybridMultilevel"/>
    <w:tmpl w:val="580E78B0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BA10FE0"/>
    <w:multiLevelType w:val="hybridMultilevel"/>
    <w:tmpl w:val="8A94ED2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7"/>
  </w:num>
  <w:num w:numId="6">
    <w:abstractNumId w:val="19"/>
  </w:num>
  <w:num w:numId="7">
    <w:abstractNumId w:val="3"/>
  </w:num>
  <w:num w:numId="8">
    <w:abstractNumId w:val="21"/>
  </w:num>
  <w:num w:numId="9">
    <w:abstractNumId w:val="6"/>
  </w:num>
  <w:num w:numId="10">
    <w:abstractNumId w:val="24"/>
  </w:num>
  <w:num w:numId="11">
    <w:abstractNumId w:val="2"/>
  </w:num>
  <w:num w:numId="12">
    <w:abstractNumId w:val="23"/>
  </w:num>
  <w:num w:numId="13">
    <w:abstractNumId w:val="13"/>
  </w:num>
  <w:num w:numId="14">
    <w:abstractNumId w:val="18"/>
  </w:num>
  <w:num w:numId="15">
    <w:abstractNumId w:val="20"/>
  </w:num>
  <w:num w:numId="16">
    <w:abstractNumId w:val="4"/>
  </w:num>
  <w:num w:numId="17">
    <w:abstractNumId w:val="12"/>
  </w:num>
  <w:num w:numId="18">
    <w:abstractNumId w:val="16"/>
  </w:num>
  <w:num w:numId="19">
    <w:abstractNumId w:val="8"/>
  </w:num>
  <w:num w:numId="20">
    <w:abstractNumId w:val="9"/>
  </w:num>
  <w:num w:numId="21">
    <w:abstractNumId w:val="25"/>
  </w:num>
  <w:num w:numId="22">
    <w:abstractNumId w:val="14"/>
  </w:num>
  <w:num w:numId="23">
    <w:abstractNumId w:val="22"/>
  </w:num>
  <w:num w:numId="24">
    <w:abstractNumId w:val="11"/>
  </w:num>
  <w:num w:numId="25">
    <w:abstractNumId w:val="15"/>
  </w:num>
  <w:num w:numId="2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FF"/>
    <w:rsid w:val="00352138"/>
    <w:rsid w:val="00AB48FF"/>
    <w:rsid w:val="00FB3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F689DD40-78F7-4058-BB42-642D4F3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97021540-652C-4CEB-A7FD-8B3DC07C8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CB46FD-E469-4732-A378-B33CCE66E9C3}"/>
</file>

<file path=customXml/itemProps3.xml><?xml version="1.0" encoding="utf-8"?>
<ds:datastoreItem xmlns:ds="http://schemas.openxmlformats.org/officeDocument/2006/customXml" ds:itemID="{B64CC3CA-0E50-4DDF-8431-5CD947D87474}"/>
</file>

<file path=customXml/itemProps4.xml><?xml version="1.0" encoding="utf-8"?>
<ds:datastoreItem xmlns:ds="http://schemas.openxmlformats.org/officeDocument/2006/customXml" ds:itemID="{C078AE2D-4A67-4016-906D-0A60D6FDF8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Aline Daubie</cp:lastModifiedBy>
  <cp:revision>2</cp:revision>
  <cp:lastPrinted>2019-10-15T07:02:00Z</cp:lastPrinted>
  <dcterms:created xsi:type="dcterms:W3CDTF">2021-04-02T11:44:00Z</dcterms:created>
  <dcterms:modified xsi:type="dcterms:W3CDTF">2021-04-02T11:44:00Z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