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Cs w:val="22"/>
          <w:lang w:val="fr-FR"/>
        </w:rPr>
      </w:pPr>
      <w:r>
        <w:rPr>
          <w:rFonts w:ascii="Times New Roman" w:hAnsi="Times New Roman"/>
          <w:b/>
          <w:szCs w:val="22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 xml:space="preserve">ENSEIGNEMENT DE PROMOTION SOCIALE </w:t>
      </w: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exte"/>
        <w:jc w:val="center"/>
        <w:rPr>
          <w:rFonts w:ascii="Times New Roman" w:hAnsi="Times New Roman"/>
          <w:b/>
          <w:sz w:val="28"/>
          <w:lang w:val="fr-FR"/>
        </w:rPr>
      </w:pPr>
    </w:p>
    <w:p>
      <w:pPr>
        <w:pStyle w:val="Titre2"/>
        <w:tabs>
          <w:tab w:val="left" w:pos="0"/>
        </w:tabs>
        <w:rPr>
          <w:sz w:val="28"/>
        </w:rPr>
      </w:pPr>
      <w:r>
        <w:rPr>
          <w:sz w:val="28"/>
        </w:rPr>
        <w:t>DOSSIER PEDAGOGIQUE</w:t>
      </w:r>
    </w:p>
    <w:p>
      <w:pPr>
        <w:pStyle w:val="Titre1"/>
      </w:pPr>
    </w:p>
    <w:p>
      <w:pPr>
        <w:pStyle w:val="Titre2"/>
        <w:rPr>
          <w:caps/>
        </w:rPr>
      </w:pPr>
      <w:r>
        <w:t>UNITE D'ENSEIGNEMENT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pStyle w:val="Titre2"/>
        <w:rPr>
          <w:caps/>
          <w:sz w:val="32"/>
          <w:szCs w:val="32"/>
        </w:rPr>
      </w:pPr>
      <w:r>
        <w:rPr>
          <w:caps/>
          <w:sz w:val="32"/>
          <w:szCs w:val="32"/>
        </w:rPr>
        <w:t>amélioration de processus D’EXPLOITATION</w:t>
      </w:r>
    </w:p>
    <w:p>
      <w:pPr>
        <w:jc w:val="center"/>
        <w:rPr>
          <w:b/>
          <w:bCs/>
        </w:rPr>
      </w:pPr>
    </w:p>
    <w:p/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</w:p>
    <w:p>
      <w:pPr>
        <w:jc w:val="center"/>
        <w:rPr>
          <w:b/>
          <w:bCs/>
          <w:szCs w:val="22"/>
        </w:rPr>
      </w:pPr>
      <w:r>
        <w:rPr>
          <w:b/>
          <w:bCs/>
          <w:szCs w:val="22"/>
        </w:rPr>
        <w:t>ENSEIGNEMENT SUPERIEUR DE TYPE LONG</w:t>
      </w:r>
    </w:p>
    <w:p>
      <w:pPr>
        <w:jc w:val="center"/>
        <w:rPr>
          <w:b/>
          <w:bCs/>
          <w:szCs w:val="22"/>
        </w:rPr>
      </w:pPr>
    </w:p>
    <w:p>
      <w:pPr>
        <w:jc w:val="center"/>
      </w:pPr>
      <w:r>
        <w:rPr>
          <w:b/>
          <w:szCs w:val="22"/>
        </w:rPr>
        <w:t>DOMAINE : SCIENCES DE L’INGENIEUR ET TECHNOLOGIE</w:t>
      </w:r>
    </w:p>
    <w:p>
      <w:pPr>
        <w:jc w:val="center"/>
      </w:pPr>
    </w:p>
    <w:p>
      <w:pPr>
        <w:rPr>
          <w:b/>
          <w:bCs/>
        </w:rPr>
      </w:pPr>
    </w:p>
    <w:p>
      <w:pPr>
        <w:rPr>
          <w:b/>
          <w:bCs/>
        </w:rPr>
      </w:pPr>
    </w:p>
    <w:tbl>
      <w:tblPr>
        <w:tblW w:w="612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20"/>
      </w:tblGrid>
      <w:tr>
        <w:trPr>
          <w:jc w:val="center"/>
        </w:trPr>
        <w:tc>
          <w:tcPr>
            <w:tcW w:w="6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nl-BE"/>
              </w:rPr>
            </w:pPr>
            <w:r>
              <w:rPr>
                <w:rFonts w:ascii="Times New Roman" w:hAnsi="Times New Roman"/>
                <w:b/>
                <w:lang w:val="nl-BE"/>
              </w:rPr>
              <w:t xml:space="preserve">CODE: </w:t>
            </w:r>
            <w:r>
              <w:rPr>
                <w:rFonts w:ascii="Times New Roman" w:hAnsi="Times New Roman"/>
                <w:b/>
                <w:lang w:val="nl-NL"/>
              </w:rPr>
              <w:t>23 13 00 U41 D1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nl-BE"/>
              </w:rPr>
            </w:pPr>
            <w:r>
              <w:rPr>
                <w:rFonts w:ascii="Times New Roman" w:hAnsi="Times New Roman"/>
                <w:b/>
                <w:lang w:val="fr-FR" w:eastAsia="fr-FR"/>
              </w:rPr>
              <w:t>CODE DU DOMAINE DE FORMATION : 206</w:t>
            </w:r>
          </w:p>
        </w:tc>
      </w:tr>
      <w:tr>
        <w:trPr>
          <w:jc w:val="center"/>
        </w:trPr>
        <w:tc>
          <w:tcPr>
            <w:tcW w:w="6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exte"/>
              <w:snapToGrid w:val="0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fr-FR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lang w:val="fr-FR"/>
              </w:rPr>
            </w:pPr>
          </w:p>
        </w:tc>
      </w:tr>
    </w:tbl>
    <w:p/>
    <w:p/>
    <w:p/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Approbation du Gouvernement de la Communauté française du 29 juillet 2019,</w:t>
      </w:r>
      <w:bookmarkStart w:id="0" w:name="_GoBack"/>
      <w:bookmarkEnd w:id="0"/>
    </w:p>
    <w:p>
      <w:pPr>
        <w:jc w:val="center"/>
        <w:rPr>
          <w:b/>
          <w:sz w:val="24"/>
          <w:szCs w:val="24"/>
          <w:lang w:eastAsia="fr-FR"/>
        </w:rPr>
      </w:pPr>
      <w:proofErr w:type="gramStart"/>
      <w:r>
        <w:rPr>
          <w:b/>
          <w:sz w:val="24"/>
          <w:szCs w:val="24"/>
        </w:rPr>
        <w:t>sur</w:t>
      </w:r>
      <w:proofErr w:type="gramEnd"/>
      <w:r>
        <w:rPr>
          <w:b/>
          <w:sz w:val="24"/>
          <w:szCs w:val="24"/>
        </w:rPr>
        <w:t xml:space="preserve"> avis conforme</w:t>
      </w:r>
      <w:r>
        <w:rPr>
          <w:b/>
          <w:sz w:val="24"/>
          <w:szCs w:val="24"/>
          <w:lang w:eastAsia="fr-FR"/>
        </w:rPr>
        <w:t xml:space="preserve"> du Conseil général</w:t>
      </w:r>
    </w:p>
    <w:p>
      <w:pPr>
        <w:suppressAutoHyphens w:val="0"/>
        <w:rPr>
          <w:b/>
          <w:sz w:val="24"/>
          <w:szCs w:val="24"/>
          <w:lang w:eastAsia="fr-FR"/>
        </w:rPr>
      </w:pPr>
      <w:r>
        <w:rPr>
          <w:b/>
          <w:sz w:val="24"/>
          <w:szCs w:val="24"/>
          <w:lang w:eastAsia="fr-FR"/>
        </w:rPr>
        <w:br w:type="page"/>
      </w:r>
    </w:p>
    <w:p>
      <w:pPr>
        <w:jc w:val="center"/>
        <w:rPr>
          <w:b/>
          <w:sz w:val="24"/>
          <w:szCs w:val="24"/>
        </w:rPr>
      </w:pPr>
    </w:p>
    <w:tbl>
      <w:tblPr>
        <w:tblW w:w="896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66"/>
      </w:tblGrid>
      <w:tr>
        <w:trPr>
          <w:jc w:val="center"/>
        </w:trPr>
        <w:tc>
          <w:tcPr>
            <w:tcW w:w="8966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2"/>
              <w:rPr>
                <w:caps/>
                <w:sz w:val="28"/>
                <w:szCs w:val="28"/>
                <w:highlight w:val="yellow"/>
              </w:rPr>
            </w:pPr>
          </w:p>
          <w:p>
            <w:pPr>
              <w:pStyle w:val="Titre2"/>
              <w:rPr>
                <w:caps/>
                <w:sz w:val="32"/>
                <w:szCs w:val="32"/>
              </w:rPr>
            </w:pPr>
            <w:r>
              <w:rPr>
                <w:caps/>
                <w:sz w:val="32"/>
                <w:szCs w:val="32"/>
              </w:rPr>
              <w:t>amélioration de processus D’EXPLOITATION</w:t>
            </w:r>
          </w:p>
          <w:p>
            <w:pPr>
              <w:jc w:val="center"/>
              <w:rPr>
                <w:b/>
                <w:sz w:val="32"/>
                <w:szCs w:val="3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enseignement superieur </w:t>
            </w:r>
            <w:bookmarkStart w:id="1" w:name="OLE_LINK1"/>
            <w:bookmarkStart w:id="2" w:name="OLE_LINK2"/>
            <w:r>
              <w:rPr>
                <w:b/>
                <w:caps/>
              </w:rPr>
              <w:t>de type long</w:t>
            </w:r>
            <w:bookmarkEnd w:id="1"/>
            <w:bookmarkEnd w:id="2"/>
          </w:p>
          <w:p>
            <w:pPr>
              <w:rPr>
                <w:b/>
                <w:sz w:val="28"/>
              </w:rPr>
            </w:pPr>
          </w:p>
        </w:tc>
      </w:tr>
    </w:tbl>
    <w:p/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FINALITES DE L’UNITE D’ENSEIGNEMENT</w:t>
      </w:r>
    </w:p>
    <w:p>
      <w:pPr>
        <w:numPr>
          <w:ilvl w:val="1"/>
          <w:numId w:val="2"/>
        </w:numPr>
        <w:tabs>
          <w:tab w:val="left" w:pos="425"/>
          <w:tab w:val="left" w:pos="860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Finalités générales</w:t>
      </w:r>
    </w:p>
    <w:p>
      <w:pPr>
        <w:suppressAutoHyphens w:val="0"/>
        <w:spacing w:after="120"/>
        <w:ind w:left="851"/>
        <w:jc w:val="both"/>
        <w:rPr>
          <w:szCs w:val="22"/>
        </w:rPr>
      </w:pPr>
      <w:r>
        <w:rPr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</w:rPr>
      </w:pPr>
      <w:r>
        <w:rPr>
          <w:szCs w:val="22"/>
          <w:lang w:val="fr-BE"/>
        </w:rPr>
        <w:t>concourir</w:t>
      </w:r>
      <w:r>
        <w:rPr>
          <w:szCs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spacing w:after="120"/>
        <w:ind w:left="1134" w:hanging="294"/>
        <w:jc w:val="both"/>
        <w:rPr>
          <w:szCs w:val="22"/>
        </w:rPr>
      </w:pPr>
      <w:r>
        <w:rPr>
          <w:szCs w:val="22"/>
          <w:lang w:val="fr-BE"/>
        </w:rPr>
        <w:t>répondre</w:t>
      </w:r>
      <w:r>
        <w:rPr>
          <w:szCs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spacing w:after="120"/>
        <w:ind w:left="851" w:hanging="426"/>
        <w:jc w:val="both"/>
        <w:rPr>
          <w:b/>
          <w:szCs w:val="22"/>
        </w:rPr>
      </w:pPr>
      <w:r>
        <w:rPr>
          <w:b/>
          <w:szCs w:val="22"/>
        </w:rPr>
        <w:t>1.2.</w:t>
      </w:r>
      <w:r>
        <w:rPr>
          <w:b/>
          <w:szCs w:val="22"/>
        </w:rPr>
        <w:tab/>
        <w:t>Finalités particulières</w:t>
      </w:r>
    </w:p>
    <w:p>
      <w:pPr>
        <w:suppressAutoHyphens w:val="0"/>
        <w:spacing w:after="120"/>
        <w:ind w:left="851"/>
        <w:jc w:val="both"/>
        <w:rPr>
          <w:szCs w:val="22"/>
        </w:rPr>
      </w:pPr>
      <w:bookmarkStart w:id="3" w:name="FIP"/>
      <w:bookmarkEnd w:id="3"/>
      <w:r>
        <w:rPr>
          <w:szCs w:val="22"/>
        </w:rPr>
        <w:t>Cette unité d’enseignement vise à permettre à l’étudiant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  <w:lang w:val="fr-BE"/>
        </w:rPr>
      </w:pPr>
      <w:r>
        <w:rPr>
          <w:szCs w:val="22"/>
          <w:lang w:val="fr-BE"/>
        </w:rPr>
        <w:t>d’appréhender les critères préalables à la mise en place de l’amélioration continue d’un processus d’exploitation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Cs w:val="22"/>
          <w:lang w:val="fr-BE"/>
        </w:rPr>
      </w:pPr>
      <w:r>
        <w:rPr>
          <w:szCs w:val="22"/>
          <w:lang w:val="fr-BE"/>
        </w:rPr>
        <w:t>de mettre en application des méthodes et outils adéquats d’amélioration d’un processus d’exploitation incluant la gestion de la qualité.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CAPACITES PREALABLES REQUISES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Capacités</w:t>
      </w:r>
    </w:p>
    <w:p>
      <w:pPr>
        <w:spacing w:after="120"/>
        <w:ind w:left="851"/>
        <w:jc w:val="both"/>
        <w:rPr>
          <w:szCs w:val="22"/>
        </w:rPr>
      </w:pPr>
      <w:r>
        <w:rPr>
          <w:szCs w:val="22"/>
        </w:rPr>
        <w:t>à partir d’applications techniques, rencontrées dans le milieu professionnel :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mathématiques,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analyser les données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établir une modélisation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en donner une solution.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physique,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déceler différents phénomènes physiques et les classer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confronter différents modèles aux données fournies ou observées afin de sélectionner le plus adéquat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zCs w:val="22"/>
        </w:rPr>
      </w:pPr>
      <w:r>
        <w:rPr>
          <w:szCs w:val="22"/>
        </w:rPr>
        <w:t>vérifier la pertinence du modèle sélectionné.</w:t>
      </w:r>
    </w:p>
    <w:p>
      <w:pPr>
        <w:tabs>
          <w:tab w:val="left" w:pos="-720"/>
        </w:tabs>
        <w:spacing w:after="120"/>
        <w:ind w:left="851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En chimie,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spacing w:val="-3"/>
          <w:szCs w:val="22"/>
        </w:rPr>
      </w:pPr>
      <w:r>
        <w:rPr>
          <w:szCs w:val="22"/>
        </w:rPr>
        <w:t>distinguer les phénomènes chimiques des phénomènes physiques et les classer au sein de chaque type ;</w:t>
      </w:r>
    </w:p>
    <w:p>
      <w:pPr>
        <w:numPr>
          <w:ilvl w:val="0"/>
          <w:numId w:val="38"/>
        </w:numPr>
        <w:tabs>
          <w:tab w:val="clear" w:pos="927"/>
          <w:tab w:val="num" w:pos="1276"/>
        </w:tabs>
        <w:suppressAutoHyphens w:val="0"/>
        <w:spacing w:after="120"/>
        <w:ind w:left="1276" w:hanging="425"/>
        <w:jc w:val="both"/>
        <w:rPr>
          <w:b/>
          <w:szCs w:val="22"/>
        </w:rPr>
      </w:pPr>
      <w:r>
        <w:rPr>
          <w:szCs w:val="22"/>
        </w:rPr>
        <w:t>confronter différents modèles aux données fournies et/ ou observées afin de sélectionner le plus adéquat.</w:t>
      </w:r>
    </w:p>
    <w:p>
      <w:pPr>
        <w:numPr>
          <w:ilvl w:val="1"/>
          <w:numId w:val="2"/>
        </w:numPr>
        <w:tabs>
          <w:tab w:val="clear" w:pos="1080"/>
          <w:tab w:val="num" w:pos="900"/>
        </w:tabs>
        <w:spacing w:after="120"/>
        <w:jc w:val="both"/>
        <w:rPr>
          <w:b/>
          <w:spacing w:val="-3"/>
          <w:szCs w:val="22"/>
        </w:rPr>
      </w:pPr>
      <w:r>
        <w:rPr>
          <w:b/>
          <w:spacing w:val="-3"/>
          <w:szCs w:val="22"/>
        </w:rPr>
        <w:t>Titres pouvant en tenir lieu </w:t>
      </w:r>
    </w:p>
    <w:p>
      <w:pPr>
        <w:pStyle w:val="1"/>
        <w:spacing w:after="120"/>
        <w:ind w:left="851" w:firstLine="0"/>
        <w:jc w:val="both"/>
        <w:rPr>
          <w:b w:val="0"/>
          <w:spacing w:val="-3"/>
          <w:sz w:val="22"/>
          <w:szCs w:val="22"/>
        </w:rPr>
      </w:pPr>
      <w:r>
        <w:rPr>
          <w:b w:val="0"/>
          <w:spacing w:val="-3"/>
          <w:sz w:val="22"/>
          <w:szCs w:val="22"/>
        </w:rPr>
        <w:t>Diplôme de bachelier de transition en sciences industrielles ou de bachelier de transition en sciences de l’ingénieur industriel.</w:t>
      </w:r>
    </w:p>
    <w:p>
      <w:pPr>
        <w:pStyle w:val="1"/>
        <w:spacing w:after="120"/>
        <w:ind w:left="709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Grade du bachelier professionnalisant de l’enseignement supérieur technique de promotion sociale ou de plein exercice de la catégorie technique ou du domaine : sciences de l’ingénieur et technologie suivi de la formation complémentaire d'abstraction.</w:t>
      </w:r>
    </w:p>
    <w:p>
      <w:pPr>
        <w:spacing w:after="120"/>
        <w:ind w:left="792"/>
        <w:jc w:val="both"/>
        <w:rPr>
          <w:b/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 xml:space="preserve">ACQUIS D’APPRENTISSAGE </w:t>
      </w:r>
    </w:p>
    <w:p>
      <w:pPr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atteindre le seuil de réussite, l’étudiant sera capable,</w:t>
      </w:r>
    </w:p>
    <w:p>
      <w:pPr>
        <w:spacing w:after="120"/>
        <w:ind w:left="426"/>
        <w:jc w:val="both"/>
        <w:rPr>
          <w:i/>
          <w:szCs w:val="22"/>
        </w:rPr>
      </w:pPr>
      <w:bookmarkStart w:id="4" w:name="_Hlk487032856"/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tenant compte des réalités économiques et sur base d’un cahier des charges fourni par l’étudiant et avalisé par le chargé de cours,</w:t>
      </w:r>
    </w:p>
    <w:p>
      <w:pPr>
        <w:spacing w:after="120"/>
        <w:ind w:left="426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spacing w:after="120"/>
        <w:ind w:left="426"/>
        <w:jc w:val="both"/>
        <w:rPr>
          <w:i/>
          <w:iCs/>
          <w:szCs w:val="22"/>
          <w:lang w:val="fr-BE"/>
        </w:rPr>
      </w:pPr>
      <w:proofErr w:type="gramStart"/>
      <w:r>
        <w:rPr>
          <w:i/>
          <w:iCs/>
          <w:szCs w:val="22"/>
          <w:lang w:val="fr-BE"/>
        </w:rPr>
        <w:t>en</w:t>
      </w:r>
      <w:proofErr w:type="gramEnd"/>
      <w:r>
        <w:rPr>
          <w:i/>
          <w:iCs/>
          <w:szCs w:val="22"/>
          <w:lang w:val="fr-BE"/>
        </w:rPr>
        <w:t xml:space="preserve"> utilisant les outils appropriés, </w:t>
      </w:r>
    </w:p>
    <w:p>
      <w:pPr>
        <w:spacing w:after="120"/>
        <w:ind w:left="426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développant des compétences de communication écrite et orale en langue française et le cas échéant en langue anglaise,</w:t>
      </w:r>
    </w:p>
    <w:bookmarkEnd w:id="4"/>
    <w:p>
      <w:pPr>
        <w:numPr>
          <w:ilvl w:val="0"/>
          <w:numId w:val="31"/>
        </w:numPr>
        <w:tabs>
          <w:tab w:val="clear" w:pos="0"/>
          <w:tab w:val="num" w:pos="851"/>
        </w:tabs>
        <w:suppressAutoHyphens w:val="0"/>
        <w:spacing w:after="120"/>
        <w:ind w:left="851" w:hanging="425"/>
        <w:jc w:val="both"/>
        <w:rPr>
          <w:szCs w:val="22"/>
        </w:rPr>
      </w:pPr>
      <w:r>
        <w:rPr>
          <w:szCs w:val="22"/>
        </w:rPr>
        <w:t>de formaliser un plan d’amélioration d’un processus d’exploitation en utilisant les outils d’une démarche qualité ;</w:t>
      </w:r>
    </w:p>
    <w:p>
      <w:pPr>
        <w:numPr>
          <w:ilvl w:val="0"/>
          <w:numId w:val="31"/>
        </w:numPr>
        <w:tabs>
          <w:tab w:val="clear" w:pos="0"/>
          <w:tab w:val="num" w:pos="851"/>
        </w:tabs>
        <w:suppressAutoHyphens w:val="0"/>
        <w:spacing w:after="120"/>
        <w:ind w:left="851" w:hanging="425"/>
        <w:jc w:val="both"/>
        <w:rPr>
          <w:szCs w:val="22"/>
        </w:rPr>
      </w:pPr>
      <w:r>
        <w:rPr>
          <w:bCs/>
          <w:iCs/>
          <w:szCs w:val="22"/>
        </w:rPr>
        <w:t>de présenter oralement son analyse diagnostique contextualisée.</w:t>
      </w:r>
    </w:p>
    <w:p>
      <w:pPr>
        <w:spacing w:after="120"/>
        <w:ind w:left="426"/>
        <w:jc w:val="both"/>
        <w:rPr>
          <w:b/>
          <w:szCs w:val="22"/>
        </w:rPr>
      </w:pPr>
      <w:r>
        <w:rPr>
          <w:b/>
          <w:szCs w:val="22"/>
        </w:rPr>
        <w:t>Pour la détermination du degré de maîtrise, il sera tenu compte des critères suivants :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créativité : le degré d’originalité des applications, des solutions ou des innovations proposées et le degré de pertinence des concepts et des techniques/principes/modèles choisis pour concevoir ou améliorer un système complexe sous un angle nouveau,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d’intégration systémique: la capacité de mobiliser connaissances et compétences dans des contextes nouveaux et pluridisciplinaires en rapport avec la problématique traitée,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de responsabilité : la capacité d’agir et d’interagir de manière réflexive, d’interroger les conséquences  et d’exercer son esprit critique,</w:t>
      </w:r>
    </w:p>
    <w:p>
      <w:pPr>
        <w:numPr>
          <w:ilvl w:val="0"/>
          <w:numId w:val="28"/>
        </w:numPr>
        <w:tabs>
          <w:tab w:val="left" w:pos="851"/>
        </w:tabs>
        <w:suppressAutoHyphens w:val="0"/>
        <w:spacing w:after="120"/>
        <w:ind w:left="851" w:hanging="425"/>
        <w:jc w:val="both"/>
        <w:rPr>
          <w:color w:val="000000"/>
          <w:szCs w:val="22"/>
        </w:rPr>
      </w:pPr>
      <w:r>
        <w:rPr>
          <w:color w:val="000000"/>
          <w:szCs w:val="22"/>
        </w:rPr>
        <w:t>niveau d’autonomie : la capacité à faire preuve d’initiatives démontrant une aptitude à s’approprier de nouveaux concepts et de nouvelles ressources en lien avec un contexte changeant.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PROGRAMME</w:t>
      </w:r>
    </w:p>
    <w:p>
      <w:pPr>
        <w:spacing w:after="120"/>
        <w:ind w:left="284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L’étudiant sera capable :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à partir d’applications techniques,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proofErr w:type="gramStart"/>
      <w:r>
        <w:rPr>
          <w:i/>
          <w:szCs w:val="22"/>
        </w:rPr>
        <w:t>en</w:t>
      </w:r>
      <w:proofErr w:type="gramEnd"/>
      <w:r>
        <w:rPr>
          <w:i/>
          <w:szCs w:val="22"/>
        </w:rPr>
        <w:t xml:space="preserve"> tenant compte des réalités économiques et sur base d’un cahier des charges fourni par l’étudiant ou le chargé de cours,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proofErr w:type="gramStart"/>
      <w:r>
        <w:rPr>
          <w:i/>
          <w:szCs w:val="22"/>
        </w:rPr>
        <w:t>dans</w:t>
      </w:r>
      <w:proofErr w:type="gramEnd"/>
      <w:r>
        <w:rPr>
          <w:i/>
          <w:szCs w:val="22"/>
        </w:rPr>
        <w:t xml:space="preserve"> le respect des règles de sécurité, d’hygiène, environnementales, des processus qualité et de la législation en vigueur,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en respectant les consignes fournies par le chargé de cours,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 xml:space="preserve">en disposant d’une structure informatique et d’autres ressources documentaires en vue de développer des stratégies de recherche en langue française et étrangère, </w:t>
      </w:r>
    </w:p>
    <w:p>
      <w:pPr>
        <w:pStyle w:val="Retraitcorpsdetexte2"/>
        <w:spacing w:line="240" w:lineRule="auto"/>
        <w:jc w:val="both"/>
        <w:rPr>
          <w:i/>
          <w:szCs w:val="22"/>
        </w:rPr>
      </w:pPr>
      <w:r>
        <w:rPr>
          <w:i/>
          <w:szCs w:val="22"/>
        </w:rPr>
        <w:t>en développant des compétences de communication écrite et orale en langue française et le cas échéant en langue anglaise,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caractériser l’entreprise par rapport à son marché, ses concurrents, ses clients …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 xml:space="preserve">d’établir une analyse diagnostique d’un secteur déterminé sur base de méthodes et d’outils adéquats concernant : 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flux,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temps prédéterminés (mesures, jugement d’allure …),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lastRenderedPageBreak/>
        <w:t>la détection des goulots d’étranglement,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l’analyse des contraintes de temps (production, agencement de l’espace …),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l’organisation générale,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la recherche des causes de dysfonctionnement,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les systèmes d’approvisionnement,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les changements d’outils,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la maintenance,</w:t>
      </w:r>
    </w:p>
    <w:p>
      <w:pPr>
        <w:pStyle w:val="Paragraphedeliste"/>
        <w:numPr>
          <w:ilvl w:val="0"/>
          <w:numId w:val="37"/>
        </w:numPr>
        <w:spacing w:after="120"/>
        <w:jc w:val="both"/>
        <w:rPr>
          <w:bCs/>
          <w:iCs/>
          <w:szCs w:val="22"/>
        </w:rPr>
      </w:pPr>
      <w:r>
        <w:rPr>
          <w:bCs/>
          <w:iCs/>
          <w:szCs w:val="22"/>
        </w:rPr>
        <w:t>…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projeter la mise en place d’un système de management de la qualité (roue de Deming, Ishikawa …) en vue d’améliorer le processus d’exploitation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de présenter une analyse diagnostique contextualisée ;</w:t>
      </w:r>
    </w:p>
    <w:p>
      <w:pPr>
        <w:pStyle w:val="Paragraphedeliste"/>
        <w:numPr>
          <w:ilvl w:val="0"/>
          <w:numId w:val="34"/>
        </w:numPr>
        <w:spacing w:after="120"/>
        <w:ind w:left="709" w:hanging="425"/>
        <w:jc w:val="both"/>
        <w:rPr>
          <w:bCs/>
          <w:iCs/>
          <w:szCs w:val="22"/>
        </w:rPr>
      </w:pPr>
      <w:r>
        <w:rPr>
          <w:bCs/>
          <w:iCs/>
          <w:szCs w:val="22"/>
        </w:rPr>
        <w:t>d’évaluer l’impact de l’intelligence artificielle sur les nouvelles technologies.</w:t>
      </w:r>
    </w:p>
    <w:p>
      <w:pPr>
        <w:spacing w:after="120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CONSTITUTION DES GROUPES OU REGROUPEMENT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Aucune recommandation particulière.</w:t>
      </w:r>
    </w:p>
    <w:p>
      <w:pPr>
        <w:spacing w:after="120"/>
        <w:ind w:left="426"/>
        <w:jc w:val="both"/>
        <w:rPr>
          <w:szCs w:val="22"/>
        </w:rPr>
      </w:pPr>
    </w:p>
    <w:p>
      <w:pPr>
        <w:numPr>
          <w:ilvl w:val="0"/>
          <w:numId w:val="2"/>
        </w:numPr>
        <w:tabs>
          <w:tab w:val="num" w:pos="1134"/>
        </w:tabs>
        <w:spacing w:after="120"/>
        <w:jc w:val="both"/>
        <w:rPr>
          <w:b/>
          <w:szCs w:val="22"/>
        </w:rPr>
      </w:pPr>
      <w:r>
        <w:rPr>
          <w:b/>
          <w:szCs w:val="22"/>
        </w:rPr>
        <w:t>CHARGE(S) DE COURS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Le chargé de cours sera un enseignant ou un expert.</w:t>
      </w:r>
    </w:p>
    <w:p>
      <w:pPr>
        <w:spacing w:after="120"/>
        <w:ind w:left="426"/>
        <w:jc w:val="both"/>
        <w:rPr>
          <w:szCs w:val="22"/>
        </w:rPr>
      </w:pPr>
      <w:r>
        <w:rPr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spacing w:after="120"/>
        <w:ind w:left="284"/>
        <w:jc w:val="both"/>
        <w:rPr>
          <w:szCs w:val="22"/>
        </w:rPr>
      </w:pPr>
    </w:p>
    <w:p>
      <w:pPr>
        <w:numPr>
          <w:ilvl w:val="0"/>
          <w:numId w:val="2"/>
        </w:numPr>
        <w:spacing w:after="120"/>
        <w:jc w:val="both"/>
        <w:rPr>
          <w:b/>
          <w:szCs w:val="22"/>
        </w:rPr>
      </w:pPr>
      <w:r>
        <w:rPr>
          <w:b/>
          <w:szCs w:val="22"/>
        </w:rPr>
        <w:t>HORAIRE MINIMUM DE L’UNITE D’ENSEIGNEMENT</w:t>
      </w:r>
    </w:p>
    <w:p>
      <w:pPr>
        <w:ind w:left="283" w:hanging="283"/>
        <w:jc w:val="both"/>
      </w:pPr>
    </w:p>
    <w:tbl>
      <w:tblPr>
        <w:tblW w:w="9072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14"/>
        <w:gridCol w:w="1614"/>
        <w:gridCol w:w="1701"/>
        <w:gridCol w:w="1843"/>
      </w:tblGrid>
      <w:tr>
        <w:trPr>
          <w:trHeight w:hRule="exact" w:val="538"/>
        </w:trPr>
        <w:tc>
          <w:tcPr>
            <w:tcW w:w="39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Cs w:val="22"/>
              </w:rPr>
            </w:pPr>
            <w:bookmarkStart w:id="5" w:name="CAT"/>
            <w:bookmarkEnd w:id="5"/>
            <w:r>
              <w:rPr>
                <w:b/>
                <w:color w:val="000000"/>
                <w:spacing w:val="1"/>
                <w:szCs w:val="22"/>
              </w:rPr>
              <w:t>7.1. Dénomination des cours</w:t>
            </w:r>
          </w:p>
        </w:tc>
        <w:tc>
          <w:tcPr>
            <w:tcW w:w="16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1"/>
                <w:szCs w:val="22"/>
                <w:u w:val="single"/>
              </w:rP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427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11"/>
                <w:szCs w:val="22"/>
                <w:u w:val="single"/>
              </w:rPr>
              <w:t>Code U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spacing w:line="240" w:lineRule="exact"/>
              <w:jc w:val="center"/>
              <w:rPr>
                <w:b/>
                <w:szCs w:val="22"/>
                <w:u w:val="single"/>
              </w:rPr>
            </w:pPr>
            <w:r>
              <w:rPr>
                <w:b/>
                <w:color w:val="000000"/>
                <w:spacing w:val="-1"/>
                <w:szCs w:val="22"/>
                <w:u w:val="single"/>
              </w:rPr>
              <w:t>Nombre de pério</w:t>
            </w:r>
            <w:r>
              <w:rPr>
                <w:b/>
                <w:color w:val="000000"/>
                <w:spacing w:val="2"/>
                <w:szCs w:val="22"/>
                <w:u w:val="single"/>
              </w:rPr>
              <w:t>des</w:t>
            </w:r>
          </w:p>
        </w:tc>
      </w:tr>
      <w:tr>
        <w:trPr>
          <w:trHeight w:hRule="exact" w:val="263"/>
        </w:trPr>
        <w:tc>
          <w:tcPr>
            <w:tcW w:w="39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szCs w:val="22"/>
              </w:rPr>
            </w:pPr>
            <w:r>
              <w:rPr>
                <w:lang w:eastAsia="fr-FR"/>
              </w:rPr>
              <w:t>Amélioration de processus d’exploitation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Cs w:val="22"/>
              </w:rPr>
            </w:pPr>
            <w:r>
              <w:rPr>
                <w:szCs w:val="22"/>
              </w:rPr>
              <w:t>CT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Cs w:val="22"/>
              </w:rPr>
            </w:pPr>
            <w:r>
              <w:rPr>
                <w:szCs w:val="22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szCs w:val="22"/>
              </w:rPr>
            </w:pPr>
            <w:r>
              <w:rPr>
                <w:szCs w:val="22"/>
              </w:rPr>
              <w:t>64</w:t>
            </w:r>
          </w:p>
        </w:tc>
      </w:tr>
      <w:tr>
        <w:trPr>
          <w:trHeight w:hRule="exact" w:val="259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rPr>
                <w:szCs w:val="22"/>
              </w:rPr>
            </w:pPr>
            <w:r>
              <w:rPr>
                <w:b/>
                <w:spacing w:val="2"/>
                <w:szCs w:val="22"/>
              </w:rPr>
              <w:t>7.2. Part d'autonomie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102"/>
              <w:jc w:val="center"/>
              <w:rPr>
                <w:szCs w:val="22"/>
              </w:rPr>
            </w:pPr>
            <w:r>
              <w:rPr>
                <w:szCs w:val="22"/>
              </w:rPr>
              <w:t>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16</w:t>
            </w:r>
          </w:p>
        </w:tc>
      </w:tr>
      <w:tr>
        <w:trPr>
          <w:trHeight w:hRule="exact" w:val="317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rPr>
                <w:b/>
                <w:szCs w:val="22"/>
              </w:rPr>
            </w:pPr>
            <w:r>
              <w:rPr>
                <w:b/>
                <w:szCs w:val="22"/>
              </w:rPr>
              <w:t>Total des périodes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b/>
                <w:strike/>
                <w:szCs w:val="22"/>
              </w:rPr>
            </w:pPr>
            <w:r>
              <w:rPr>
                <w:b/>
                <w:szCs w:val="22"/>
              </w:rPr>
              <w:t>80</w:t>
            </w:r>
          </w:p>
        </w:tc>
      </w:tr>
    </w:tbl>
    <w:p>
      <w:pPr>
        <w:ind w:left="708" w:hanging="708"/>
      </w:pPr>
    </w:p>
    <w:sectPr>
      <w:footerReference w:type="default" r:id="rId7"/>
      <w:footnotePr>
        <w:pos w:val="beneathText"/>
      </w:footnotePr>
      <w:type w:val="continuous"/>
      <w:pgSz w:w="11905" w:h="16837"/>
      <w:pgMar w:top="709" w:right="1417" w:bottom="1291" w:left="1417" w:header="1417" w:footer="7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2060"/>
        <w:sz w:val="20"/>
      </w:rPr>
      <w:id w:val="-223908243"/>
      <w:docPartObj>
        <w:docPartGallery w:val="Page Numbers (Bottom of Page)"/>
        <w:docPartUnique/>
      </w:docPartObj>
    </w:sdtPr>
    <w:sdtContent>
      <w:sdt>
        <w:sdtPr>
          <w:rPr>
            <w:color w:val="002060"/>
            <w:sz w:val="20"/>
          </w:rPr>
          <w:id w:val="-1430126625"/>
          <w:docPartObj>
            <w:docPartGallery w:val="Page Numbers (Top of Page)"/>
            <w:docPartUnique/>
          </w:docPartObj>
        </w:sdtPr>
        <w:sdtContent>
          <w:p>
            <w:pPr>
              <w:pStyle w:val="Pieddepage"/>
              <w:jc w:val="right"/>
              <w:rPr>
                <w:color w:val="002060"/>
                <w:sz w:val="20"/>
              </w:rPr>
            </w:pPr>
            <w:r>
              <w:rPr>
                <w:color w:val="002060"/>
                <w:sz w:val="20"/>
              </w:rPr>
              <w:t>Amélioration de processus d’exploitation</w:t>
            </w:r>
            <w:r>
              <w:rPr>
                <w:color w:val="002060"/>
                <w:sz w:val="20"/>
              </w:rPr>
              <w:tab/>
            </w:r>
            <w:r>
              <w:rPr>
                <w:color w:val="002060"/>
                <w:sz w:val="20"/>
              </w:rPr>
              <w:tab/>
              <w:t xml:space="preserve">Page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PAGE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  <w:r>
              <w:rPr>
                <w:color w:val="002060"/>
                <w:sz w:val="20"/>
              </w:rPr>
              <w:t xml:space="preserve"> sur </w:t>
            </w:r>
            <w:r>
              <w:rPr>
                <w:bCs/>
                <w:color w:val="002060"/>
                <w:sz w:val="20"/>
              </w:rPr>
              <w:fldChar w:fldCharType="begin"/>
            </w:r>
            <w:r>
              <w:rPr>
                <w:bCs/>
                <w:color w:val="002060"/>
                <w:sz w:val="20"/>
              </w:rPr>
              <w:instrText>NUMPAGES</w:instrText>
            </w:r>
            <w:r>
              <w:rPr>
                <w:bCs/>
                <w:color w:val="002060"/>
                <w:sz w:val="20"/>
              </w:rPr>
              <w:fldChar w:fldCharType="separate"/>
            </w:r>
            <w:r>
              <w:rPr>
                <w:bCs/>
                <w:noProof/>
                <w:color w:val="002060"/>
                <w:sz w:val="20"/>
              </w:rPr>
              <w:t>4</w:t>
            </w:r>
            <w:r>
              <w:rPr>
                <w:bCs/>
                <w:color w:val="00206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normal01"/>
      <w:lvlText w:val=""/>
      <w:lvlJc w:val="left"/>
      <w:pPr>
        <w:tabs>
          <w:tab w:val="num" w:pos="0"/>
        </w:tabs>
      </w:pPr>
      <w:rPr>
        <w:rFonts w:ascii="Symbol" w:hAnsi="Symbol"/>
        <w:sz w:val="1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1107"/>
        </w:tabs>
        <w:ind w:left="1107" w:hanging="397"/>
      </w:pPr>
      <w:rPr>
        <w:rFonts w:ascii="Symbol" w:hAnsi="Symbol"/>
        <w:sz w:val="22"/>
      </w:rPr>
    </w:lvl>
  </w:abstractNum>
  <w:abstractNum w:abstractNumId="5" w15:restartNumberingAfterBreak="0">
    <w:nsid w:val="01F07A29"/>
    <w:multiLevelType w:val="multilevel"/>
    <w:tmpl w:val="A7AE722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6" w15:restartNumberingAfterBreak="0">
    <w:nsid w:val="029C4631"/>
    <w:multiLevelType w:val="hybridMultilevel"/>
    <w:tmpl w:val="064609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584C55"/>
    <w:multiLevelType w:val="hybridMultilevel"/>
    <w:tmpl w:val="E842B96C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0AA74A2A"/>
    <w:multiLevelType w:val="hybridMultilevel"/>
    <w:tmpl w:val="670C8F70"/>
    <w:lvl w:ilvl="0" w:tplc="08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0ABF6028"/>
    <w:multiLevelType w:val="hybridMultilevel"/>
    <w:tmpl w:val="318C32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7508A"/>
    <w:multiLevelType w:val="multilevel"/>
    <w:tmpl w:val="B12A05C0"/>
    <w:lvl w:ilvl="0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F65612"/>
    <w:multiLevelType w:val="multilevel"/>
    <w:tmpl w:val="E3F6E156"/>
    <w:lvl w:ilvl="0">
      <w:numFmt w:val="bullet"/>
      <w:lvlText w:val="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D0855"/>
    <w:multiLevelType w:val="multilevel"/>
    <w:tmpl w:val="A96C26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3" w15:restartNumberingAfterBreak="0">
    <w:nsid w:val="233E44A0"/>
    <w:multiLevelType w:val="hybridMultilevel"/>
    <w:tmpl w:val="EA32469E"/>
    <w:lvl w:ilvl="0" w:tplc="FFFFFFFF">
      <w:start w:val="1"/>
      <w:numFmt w:val="bullet"/>
      <w:lvlText w:val="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1316D47"/>
    <w:multiLevelType w:val="hybridMultilevel"/>
    <w:tmpl w:val="12F2497A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</w:rPr>
    </w:lvl>
  </w:abstractNum>
  <w:abstractNum w:abstractNumId="17" w15:restartNumberingAfterBreak="0">
    <w:nsid w:val="40B10FC0"/>
    <w:multiLevelType w:val="hybridMultilevel"/>
    <w:tmpl w:val="F202D1D4"/>
    <w:lvl w:ilvl="0" w:tplc="69B48404">
      <w:numFmt w:val="bullet"/>
      <w:lvlText w:val=""/>
      <w:lvlJc w:val="left"/>
      <w:pPr>
        <w:tabs>
          <w:tab w:val="num" w:pos="1701"/>
        </w:tabs>
        <w:ind w:left="1701" w:hanging="454"/>
      </w:pPr>
      <w:rPr>
        <w:rFonts w:ascii="Symbol" w:hAnsi="Symbol" w:hint="default"/>
        <w:b/>
        <w:i w:val="0"/>
        <w:color w:val="auto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573F3"/>
    <w:multiLevelType w:val="hybridMultilevel"/>
    <w:tmpl w:val="826E422E"/>
    <w:lvl w:ilvl="0" w:tplc="08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D5189E"/>
    <w:multiLevelType w:val="hybridMultilevel"/>
    <w:tmpl w:val="55F62A74"/>
    <w:lvl w:ilvl="0" w:tplc="080C0009">
      <w:start w:val="1"/>
      <w:numFmt w:val="bullet"/>
      <w:lvlText w:val=""/>
      <w:lvlJc w:val="left"/>
      <w:pPr>
        <w:ind w:left="208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0" w15:restartNumberingAfterBreak="0">
    <w:nsid w:val="4F1A5674"/>
    <w:multiLevelType w:val="hybridMultilevel"/>
    <w:tmpl w:val="CF4E872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75EAE"/>
    <w:multiLevelType w:val="hybridMultilevel"/>
    <w:tmpl w:val="FCBEB684"/>
    <w:lvl w:ilvl="0" w:tplc="080C0009">
      <w:start w:val="1"/>
      <w:numFmt w:val="bullet"/>
      <w:lvlText w:val=""/>
      <w:lvlJc w:val="left"/>
      <w:pPr>
        <w:ind w:left="136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5D204FBF"/>
    <w:multiLevelType w:val="hybridMultilevel"/>
    <w:tmpl w:val="54A6D9D6"/>
    <w:lvl w:ilvl="0" w:tplc="080C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23" w15:restartNumberingAfterBreak="0">
    <w:nsid w:val="607A7B63"/>
    <w:multiLevelType w:val="singleLevel"/>
    <w:tmpl w:val="5720D3C0"/>
    <w:lvl w:ilvl="0">
      <w:start w:val="1"/>
      <w:numFmt w:val="bullet"/>
      <w:lvlText w:val=""/>
      <w:lvlJc w:val="left"/>
      <w:pPr>
        <w:tabs>
          <w:tab w:val="num" w:pos="927"/>
        </w:tabs>
        <w:ind w:left="908" w:hanging="341"/>
      </w:pPr>
      <w:rPr>
        <w:rFonts w:ascii="Symbol" w:hAnsi="Symbol" w:hint="default"/>
      </w:rPr>
    </w:lvl>
  </w:abstractNum>
  <w:abstractNum w:abstractNumId="24" w15:restartNumberingAfterBreak="0">
    <w:nsid w:val="63434CB8"/>
    <w:multiLevelType w:val="hybridMultilevel"/>
    <w:tmpl w:val="27FC416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8C1F14"/>
    <w:multiLevelType w:val="multilevel"/>
    <w:tmpl w:val="F0BAC23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26" w15:restartNumberingAfterBreak="0">
    <w:nsid w:val="6BC07A30"/>
    <w:multiLevelType w:val="hybridMultilevel"/>
    <w:tmpl w:val="95649560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6C971F68"/>
    <w:multiLevelType w:val="hybridMultilevel"/>
    <w:tmpl w:val="FCACF222"/>
    <w:lvl w:ilvl="0" w:tplc="F3A83802">
      <w:start w:val="1"/>
      <w:numFmt w:val="bullet"/>
      <w:lvlText w:val=""/>
      <w:lvlJc w:val="left"/>
      <w:pPr>
        <w:ind w:left="1065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6ED129E1"/>
    <w:multiLevelType w:val="hybridMultilevel"/>
    <w:tmpl w:val="B12A05C0"/>
    <w:lvl w:ilvl="0" w:tplc="42FE948C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5627F"/>
    <w:multiLevelType w:val="hybridMultilevel"/>
    <w:tmpl w:val="F2C29A0C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7E487C"/>
    <w:multiLevelType w:val="hybridMultilevel"/>
    <w:tmpl w:val="E3F6E156"/>
    <w:lvl w:ilvl="0" w:tplc="69B48404">
      <w:numFmt w:val="bullet"/>
      <w:lvlText w:val="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/>
        <w:i w:val="0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B673C"/>
    <w:multiLevelType w:val="hybridMultilevel"/>
    <w:tmpl w:val="9086F6D8"/>
    <w:lvl w:ilvl="0" w:tplc="7E2A7EEC">
      <w:start w:val="1"/>
      <w:numFmt w:val="bullet"/>
      <w:lvlText w:val=""/>
      <w:lvlJc w:val="left"/>
      <w:pPr>
        <w:tabs>
          <w:tab w:val="num" w:pos="459"/>
        </w:tabs>
        <w:ind w:left="2444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731D7CD4"/>
    <w:multiLevelType w:val="singleLevel"/>
    <w:tmpl w:val="85D6D6AE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0E430E"/>
    <w:multiLevelType w:val="hybridMultilevel"/>
    <w:tmpl w:val="6F30E87A"/>
    <w:lvl w:ilvl="0" w:tplc="FFFFFFFF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6FE4219"/>
    <w:multiLevelType w:val="hybridMultilevel"/>
    <w:tmpl w:val="EB524F64"/>
    <w:lvl w:ilvl="0" w:tplc="FFFFFFFF">
      <w:start w:val="1"/>
      <w:numFmt w:val="bullet"/>
      <w:lvlText w:val=""/>
      <w:legacy w:legacy="1" w:legacySpace="0" w:legacyIndent="360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"/>
      <w:legacy w:legacy="1" w:legacySpace="0" w:legacyIndent="360"/>
      <w:lvlJc w:val="left"/>
      <w:pPr>
        <w:ind w:left="90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369058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37D7B"/>
    <w:multiLevelType w:val="hybridMultilevel"/>
    <w:tmpl w:val="244A70DC"/>
    <w:lvl w:ilvl="0" w:tplc="080C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7E98644E"/>
    <w:multiLevelType w:val="hybridMultilevel"/>
    <w:tmpl w:val="EDE89838"/>
    <w:lvl w:ilvl="0" w:tplc="080C0001">
      <w:start w:val="1"/>
      <w:numFmt w:val="bullet"/>
      <w:lvlText w:val=""/>
      <w:lvlJc w:val="left"/>
      <w:pPr>
        <w:tabs>
          <w:tab w:val="num" w:pos="2154"/>
        </w:tabs>
        <w:ind w:left="2154" w:hanging="454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D77FB"/>
    <w:multiLevelType w:val="hybridMultilevel"/>
    <w:tmpl w:val="4490A2CA"/>
    <w:lvl w:ilvl="0" w:tplc="080C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3"/>
  </w:num>
  <w:num w:numId="5">
    <w:abstractNumId w:val="8"/>
  </w:num>
  <w:num w:numId="6">
    <w:abstractNumId w:val="5"/>
  </w:num>
  <w:num w:numId="7">
    <w:abstractNumId w:val="26"/>
  </w:num>
  <w:num w:numId="8">
    <w:abstractNumId w:val="24"/>
  </w:num>
  <w:num w:numId="9">
    <w:abstractNumId w:val="25"/>
  </w:num>
  <w:num w:numId="10">
    <w:abstractNumId w:val="15"/>
  </w:num>
  <w:num w:numId="11">
    <w:abstractNumId w:val="7"/>
  </w:num>
  <w:num w:numId="12">
    <w:abstractNumId w:val="19"/>
  </w:num>
  <w:num w:numId="13">
    <w:abstractNumId w:val="21"/>
  </w:num>
  <w:num w:numId="14">
    <w:abstractNumId w:val="22"/>
  </w:num>
  <w:num w:numId="15">
    <w:abstractNumId w:val="20"/>
  </w:num>
  <w:num w:numId="16">
    <w:abstractNumId w:val="35"/>
  </w:num>
  <w:num w:numId="17">
    <w:abstractNumId w:val="6"/>
  </w:num>
  <w:num w:numId="18">
    <w:abstractNumId w:val="36"/>
  </w:num>
  <w:num w:numId="19">
    <w:abstractNumId w:val="28"/>
  </w:num>
  <w:num w:numId="20">
    <w:abstractNumId w:val="10"/>
  </w:num>
  <w:num w:numId="21">
    <w:abstractNumId w:val="30"/>
  </w:num>
  <w:num w:numId="22">
    <w:abstractNumId w:val="11"/>
  </w:num>
  <w:num w:numId="23">
    <w:abstractNumId w:val="17"/>
  </w:num>
  <w:num w:numId="24">
    <w:abstractNumId w:val="34"/>
  </w:num>
  <w:num w:numId="25">
    <w:abstractNumId w:val="2"/>
  </w:num>
  <w:num w:numId="26">
    <w:abstractNumId w:val="37"/>
  </w:num>
  <w:num w:numId="27">
    <w:abstractNumId w:val="12"/>
  </w:num>
  <w:num w:numId="28">
    <w:abstractNumId w:val="27"/>
  </w:num>
  <w:num w:numId="2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2"/>
  </w:num>
  <w:num w:numId="32">
    <w:abstractNumId w:val="31"/>
  </w:num>
  <w:num w:numId="33">
    <w:abstractNumId w:val="13"/>
  </w:num>
  <w:num w:numId="34">
    <w:abstractNumId w:val="33"/>
  </w:num>
  <w:num w:numId="35">
    <w:abstractNumId w:val="29"/>
  </w:num>
  <w:num w:numId="36">
    <w:abstractNumId w:val="9"/>
  </w:num>
  <w:num w:numId="37">
    <w:abstractNumId w:val="18"/>
  </w:num>
  <w:num w:numId="38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44446384-2ED1-4903-B7A8-613C6E36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/>
      <w:sz w:val="22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eastAsia="Times New Roman" w:cs="Times New Roman"/>
      <w:sz w:val="24"/>
      <w:lang w:val="fr-FR" w:eastAsia="ar-SA" w:bidi="ar-SA"/>
    </w:rPr>
  </w:style>
  <w:style w:type="character" w:customStyle="1" w:styleId="Titre2Car">
    <w:name w:val="Titre 2 Car"/>
    <w:basedOn w:val="Policepardfaut"/>
    <w:link w:val="Titre2"/>
    <w:uiPriority w:val="99"/>
    <w:locked/>
    <w:rPr>
      <w:rFonts w:ascii="Times New Roman" w:hAnsi="Times New Roman" w:cs="Times New Roman"/>
      <w:b/>
      <w:sz w:val="20"/>
      <w:lang w:val="fr-FR" w:eastAsia="ar-SA" w:bidi="ar-SA"/>
    </w:rPr>
  </w:style>
  <w:style w:type="character" w:customStyle="1" w:styleId="Titre3Car">
    <w:name w:val="Titre 3 Car"/>
    <w:basedOn w:val="Policepardfaut"/>
    <w:link w:val="Titre3"/>
    <w:uiPriority w:val="99"/>
    <w:locked/>
    <w:rPr>
      <w:rFonts w:ascii="Arial" w:eastAsia="MS Mincho" w:hAnsi="Arial" w:cs="Times New Roman"/>
      <w:b/>
      <w:sz w:val="28"/>
      <w:lang w:val="fr-FR" w:eastAsia="ar-SA" w:bidi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NormalWeb">
    <w:name w:val="Normal (Web)"/>
    <w:basedOn w:val="Normal"/>
    <w:uiPriority w:val="99"/>
    <w:pPr>
      <w:suppressAutoHyphens w:val="0"/>
      <w:spacing w:before="100" w:beforeAutospacing="1" w:after="100" w:afterAutospacing="1"/>
    </w:pPr>
    <w:rPr>
      <w:sz w:val="24"/>
      <w:szCs w:val="24"/>
      <w:lang w:val="fr-BE" w:eastAsia="fr-BE"/>
    </w:rPr>
  </w:style>
  <w:style w:type="paragraph" w:styleId="Titre">
    <w:name w:val="Title"/>
    <w:basedOn w:val="Normal"/>
    <w:next w:val="Normal"/>
    <w:link w:val="TitreCar"/>
    <w:uiPriority w:val="99"/>
    <w:qFormat/>
    <w:pPr>
      <w:pBdr>
        <w:bottom w:val="single" w:sz="8" w:space="4" w:color="4F81BD"/>
      </w:pBdr>
      <w:spacing w:after="300"/>
    </w:pPr>
    <w:rPr>
      <w:rFonts w:ascii="Cambria" w:eastAsia="Calibri" w:hAnsi="Cambria"/>
      <w:color w:val="17365D"/>
      <w:spacing w:val="5"/>
      <w:kern w:val="28"/>
      <w:sz w:val="52"/>
    </w:rPr>
  </w:style>
  <w:style w:type="character" w:customStyle="1" w:styleId="TitreCar">
    <w:name w:val="Titre Car"/>
    <w:basedOn w:val="Policepardfaut"/>
    <w:link w:val="Titre"/>
    <w:uiPriority w:val="99"/>
    <w:locked/>
    <w:rPr>
      <w:rFonts w:ascii="Cambria" w:hAnsi="Cambria" w:cs="Times New Roman"/>
      <w:color w:val="17365D"/>
      <w:spacing w:val="5"/>
      <w:kern w:val="28"/>
      <w:sz w:val="52"/>
      <w:lang w:val="fr-FR" w:eastAsia="ar-SA" w:bidi="ar-SA"/>
    </w:rPr>
  </w:style>
  <w:style w:type="paragraph" w:styleId="Corpsdetexte">
    <w:name w:val="Body Text"/>
    <w:basedOn w:val="Normal"/>
    <w:link w:val="CorpsdetexteCar"/>
    <w:uiPriority w:val="99"/>
    <w:semiHidden/>
    <w:pPr>
      <w:spacing w:after="120"/>
    </w:pPr>
    <w:rPr>
      <w:rFonts w:eastAsia="Calibri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eastAsia="Calibri" w:hAnsi="Tahoma"/>
      <w:sz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imes New Roman"/>
      <w:sz w:val="16"/>
      <w:lang w:val="fr-FR" w:eastAsia="ar-SA" w:bidi="ar-SA"/>
    </w:rPr>
  </w:style>
  <w:style w:type="paragraph" w:styleId="Paragraphedeliste">
    <w:name w:val="List Paragraph"/>
    <w:basedOn w:val="Normal"/>
    <w:uiPriority w:val="99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Times New Roman" w:hAnsi="Times New Roman" w:cs="Times New Roman"/>
      <w:sz w:val="20"/>
      <w:lang w:val="fr-FR" w:eastAsia="ar-SA" w:bidi="ar-SA"/>
    </w:rPr>
  </w:style>
  <w:style w:type="paragraph" w:customStyle="1" w:styleId="normal01">
    <w:name w:val="normal01"/>
    <w:basedOn w:val="Normal"/>
    <w:uiPriority w:val="99"/>
    <w:pPr>
      <w:widowControl w:val="0"/>
      <w:numPr>
        <w:numId w:val="4"/>
      </w:numPr>
      <w:spacing w:line="240" w:lineRule="atLeast"/>
    </w:pPr>
    <w:rPr>
      <w:rFonts w:eastAsia="Calibri"/>
    </w:rPr>
  </w:style>
  <w:style w:type="paragraph" w:customStyle="1" w:styleId="Normaltxtdosped">
    <w:name w:val="Normal.txtdosped"/>
    <w:uiPriority w:val="99"/>
    <w:pPr>
      <w:autoSpaceDE w:val="0"/>
      <w:autoSpaceDN w:val="0"/>
    </w:pPr>
    <w:rPr>
      <w:rFonts w:ascii="Times New Roman" w:eastAsia="Times New Roman" w:hAnsi="Times New Roman"/>
      <w:lang w:val="fr-FR" w:eastAsia="fr-FR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uiPriority w:val="99"/>
    <w:pPr>
      <w:suppressAutoHyphens w:val="0"/>
      <w:ind w:left="426"/>
      <w:jc w:val="both"/>
    </w:pPr>
    <w:rPr>
      <w:lang w:eastAsia="fr-FR"/>
    </w:rPr>
  </w:style>
  <w:style w:type="character" w:styleId="Numrodepage">
    <w:name w:val="page number"/>
    <w:uiPriority w:val="99"/>
    <w:rPr>
      <w:rFonts w:cs="Times New Roman"/>
    </w:rPr>
  </w:style>
  <w:style w:type="paragraph" w:customStyle="1" w:styleId="1">
    <w:name w:val="1"/>
    <w:basedOn w:val="Liste"/>
    <w:pPr>
      <w:suppressAutoHyphens w:val="0"/>
      <w:contextualSpacing w:val="0"/>
    </w:pPr>
    <w:rPr>
      <w:b/>
      <w:sz w:val="24"/>
      <w:lang w:eastAsia="fr-FR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Times New Roman" w:eastAsia="Times New Roman" w:hAnsi="Times New Roman"/>
      <w:sz w:val="2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980EBC13-0D5A-4547-96DE-49B39C59C922}"/>
</file>

<file path=customXml/itemProps2.xml><?xml version="1.0" encoding="utf-8"?>
<ds:datastoreItem xmlns:ds="http://schemas.openxmlformats.org/officeDocument/2006/customXml" ds:itemID="{714EDDEE-9027-4149-9DF2-D3F055A8CB2D}"/>
</file>

<file path=customXml/itemProps3.xml><?xml version="1.0" encoding="utf-8"?>
<ds:datastoreItem xmlns:ds="http://schemas.openxmlformats.org/officeDocument/2006/customXml" ds:itemID="{D71DD3C0-1AD1-4B5E-96E1-6B6CF9D875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941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Institut Ferdinand Cocq Ixelles</Company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christiane</dc:creator>
  <cp:lastModifiedBy>goulet02</cp:lastModifiedBy>
  <cp:revision>74</cp:revision>
  <cp:lastPrinted>2016-12-07T14:02:00Z</cp:lastPrinted>
  <dcterms:created xsi:type="dcterms:W3CDTF">2017-08-25T08:32:00Z</dcterms:created>
  <dcterms:modified xsi:type="dcterms:W3CDTF">2019-10-16T08:58:00Z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